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FBB" w:rsidRDefault="00D43FBB" w:rsidP="00D43FBB">
      <w:pPr>
        <w:rPr>
          <w:rFonts w:ascii="Calibri" w:eastAsia="Calibri" w:hAnsi="Calibri" w:cs="Calibri"/>
          <w:b/>
          <w:color w:val="000000"/>
          <w:sz w:val="24"/>
        </w:rPr>
      </w:pPr>
      <w:r w:rsidRPr="00D43FBB">
        <w:rPr>
          <w:rFonts w:ascii="Calibri" w:eastAsia="Calibri" w:hAnsi="Calibri" w:cs="Calibri"/>
          <w:b/>
          <w:noProof/>
          <w:color w:val="000000"/>
          <w:sz w:val="24"/>
        </w:rPr>
        <w:drawing>
          <wp:inline distT="0" distB="0" distL="0" distR="0" wp14:anchorId="796CA5F6" wp14:editId="5827C654">
            <wp:extent cx="5224145" cy="977900"/>
            <wp:effectExtent l="0" t="0" r="0" b="0"/>
            <wp:docPr id="1" name="Picture 1" descr="C:\Users\whall\AppData\Local\Microsoft\Windows\INetCache\Content.Outlook\X39S3C0H\LHC-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hall\AppData\Local\Microsoft\Windows\INetCache\Content.Outlook\X39S3C0H\LHC-3C.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24145" cy="977900"/>
                    </a:xfrm>
                    <a:prstGeom prst="rect">
                      <a:avLst/>
                    </a:prstGeom>
                    <a:noFill/>
                    <a:ln>
                      <a:noFill/>
                    </a:ln>
                  </pic:spPr>
                </pic:pic>
              </a:graphicData>
            </a:graphic>
          </wp:inline>
        </w:drawing>
      </w:r>
    </w:p>
    <w:p w:rsidR="00D43FBB" w:rsidRDefault="00D43FBB" w:rsidP="005539AB">
      <w:pPr>
        <w:jc w:val="center"/>
        <w:rPr>
          <w:rFonts w:ascii="Calibri" w:eastAsia="Calibri" w:hAnsi="Calibri" w:cs="Calibri"/>
          <w:b/>
          <w:color w:val="000000"/>
          <w:sz w:val="24"/>
        </w:rPr>
      </w:pPr>
    </w:p>
    <w:p w:rsidR="00D43FBB" w:rsidRDefault="005539AB" w:rsidP="005539AB">
      <w:pPr>
        <w:jc w:val="center"/>
        <w:rPr>
          <w:rFonts w:ascii="Calibri" w:eastAsia="Calibri" w:hAnsi="Calibri" w:cs="Calibri"/>
          <w:b/>
          <w:color w:val="000000"/>
          <w:sz w:val="24"/>
        </w:rPr>
      </w:pPr>
      <w:r w:rsidRPr="005539AB">
        <w:rPr>
          <w:rFonts w:ascii="Calibri" w:eastAsia="Calibri" w:hAnsi="Calibri" w:cs="Calibri"/>
          <w:b/>
          <w:color w:val="000000"/>
          <w:sz w:val="24"/>
        </w:rPr>
        <w:t xml:space="preserve">2022/2023 </w:t>
      </w:r>
      <w:r w:rsidR="00D43FBB">
        <w:rPr>
          <w:rFonts w:ascii="Calibri" w:eastAsia="Calibri" w:hAnsi="Calibri" w:cs="Calibri"/>
          <w:b/>
          <w:color w:val="000000"/>
          <w:sz w:val="24"/>
        </w:rPr>
        <w:t>Qualified Allocation Plan</w:t>
      </w:r>
    </w:p>
    <w:p w:rsidR="005539AB" w:rsidRDefault="005539AB" w:rsidP="005539AB">
      <w:pPr>
        <w:jc w:val="center"/>
        <w:rPr>
          <w:rFonts w:ascii="Calibri" w:eastAsia="Calibri" w:hAnsi="Calibri" w:cs="Calibri"/>
          <w:b/>
          <w:color w:val="000000"/>
          <w:sz w:val="24"/>
        </w:rPr>
      </w:pPr>
      <w:r w:rsidRPr="005539AB">
        <w:rPr>
          <w:rFonts w:ascii="Calibri" w:eastAsia="Calibri" w:hAnsi="Calibri" w:cs="Calibri"/>
          <w:b/>
          <w:color w:val="000000"/>
          <w:sz w:val="24"/>
        </w:rPr>
        <w:t>Frequently Asked Questions</w:t>
      </w:r>
    </w:p>
    <w:p w:rsidR="005539AB" w:rsidRPr="005539AB" w:rsidRDefault="005539AB" w:rsidP="005539AB">
      <w:pPr>
        <w:rPr>
          <w:rFonts w:ascii="Calibri" w:eastAsia="Calibri" w:hAnsi="Calibri" w:cs="Calibri"/>
          <w:b/>
          <w:color w:val="000000"/>
          <w:sz w:val="24"/>
        </w:rPr>
      </w:pPr>
      <w:r>
        <w:rPr>
          <w:rFonts w:ascii="Calibri" w:eastAsia="Calibri" w:hAnsi="Calibri" w:cs="Calibri"/>
          <w:b/>
          <w:color w:val="000000"/>
          <w:sz w:val="24"/>
        </w:rPr>
        <w:t>NOTE: the questions below are only minimally edited and are in the same or nearly the same form as submitted to the Corporation.  Responses to the Frequently Asked Questions are provided as a courtesy to our developers and are meant to provide clarification with regard to the 2022/2023 Qualified Allocation Plan (QAP)</w:t>
      </w:r>
      <w:r w:rsidR="00D43FBB">
        <w:rPr>
          <w:rFonts w:ascii="Calibri" w:eastAsia="Calibri" w:hAnsi="Calibri" w:cs="Calibri"/>
          <w:b/>
          <w:color w:val="000000"/>
          <w:sz w:val="24"/>
        </w:rPr>
        <w:t>.  Be advised that the QAP is the controlling document and responses below are not intended to circumvent or substitute any of the directives or requirements of the QAP.</w:t>
      </w:r>
    </w:p>
    <w:p w:rsidR="005539AB" w:rsidRDefault="005539AB" w:rsidP="005539AB">
      <w:pPr>
        <w:pStyle w:val="ListParagraph"/>
        <w:rPr>
          <w:rFonts w:ascii="Calibri" w:eastAsia="Calibri" w:hAnsi="Calibri" w:cs="Calibri"/>
          <w:color w:val="000000"/>
          <w:sz w:val="24"/>
          <w:highlight w:val="yellow"/>
        </w:rPr>
      </w:pPr>
    </w:p>
    <w:p w:rsidR="001F3637" w:rsidRPr="00F035F6" w:rsidRDefault="00657170" w:rsidP="001F3637">
      <w:pPr>
        <w:pStyle w:val="ListParagraph"/>
        <w:numPr>
          <w:ilvl w:val="0"/>
          <w:numId w:val="1"/>
        </w:numPr>
        <w:rPr>
          <w:rFonts w:ascii="Calibri" w:eastAsia="Calibri" w:hAnsi="Calibri" w:cs="Calibri"/>
          <w:color w:val="000000"/>
          <w:sz w:val="24"/>
        </w:rPr>
      </w:pPr>
      <w:r w:rsidRPr="00F035F6">
        <w:rPr>
          <w:rFonts w:ascii="Calibri" w:eastAsia="Calibri" w:hAnsi="Calibri" w:cs="Calibri"/>
          <w:color w:val="000000"/>
          <w:sz w:val="24"/>
        </w:rPr>
        <w:t xml:space="preserve">Will the </w:t>
      </w:r>
      <w:r w:rsidR="001F3637" w:rsidRPr="00F035F6">
        <w:rPr>
          <w:rFonts w:ascii="Calibri" w:eastAsia="Calibri" w:hAnsi="Calibri" w:cs="Calibri"/>
          <w:color w:val="000000"/>
          <w:sz w:val="24"/>
        </w:rPr>
        <w:t xml:space="preserve">designation of single project to be identified by the local municipality in the Lake Charles area to aid in its recovery efforts be inclusive of the </w:t>
      </w:r>
      <w:r w:rsidRPr="00F035F6">
        <w:rPr>
          <w:rFonts w:ascii="Calibri" w:eastAsia="Calibri" w:hAnsi="Calibri" w:cs="Calibri"/>
          <w:color w:val="000000"/>
          <w:sz w:val="24"/>
        </w:rPr>
        <w:t>$</w:t>
      </w:r>
      <w:r w:rsidR="001F3637" w:rsidRPr="00F035F6">
        <w:rPr>
          <w:rFonts w:ascii="Calibri" w:eastAsia="Calibri" w:hAnsi="Calibri" w:cs="Calibri"/>
          <w:color w:val="000000"/>
          <w:sz w:val="24"/>
        </w:rPr>
        <w:t xml:space="preserve">6 million designated for Calcasieu Parish? </w:t>
      </w:r>
    </w:p>
    <w:p w:rsidR="00893AE6" w:rsidRDefault="006E22B4" w:rsidP="00674613">
      <w:pPr>
        <w:ind w:left="360"/>
        <w:rPr>
          <w:rFonts w:ascii="Helvetica" w:eastAsia="Times New Roman" w:hAnsi="Helvetica"/>
        </w:rPr>
      </w:pPr>
      <w:r w:rsidRPr="00F035F6">
        <w:rPr>
          <w:rFonts w:ascii="Calibri" w:eastAsia="Calibri" w:hAnsi="Calibri" w:cs="Calibri"/>
          <w:b/>
          <w:color w:val="000000"/>
          <w:sz w:val="24"/>
        </w:rPr>
        <w:t xml:space="preserve">Answer:  </w:t>
      </w:r>
      <w:r w:rsidR="001F3637" w:rsidRPr="00F035F6">
        <w:rPr>
          <w:rFonts w:ascii="Calibri" w:eastAsia="Calibri" w:hAnsi="Calibri" w:cs="Calibri"/>
          <w:b/>
          <w:color w:val="000000"/>
          <w:sz w:val="24"/>
        </w:rPr>
        <w:t xml:space="preserve">Yes, </w:t>
      </w:r>
      <w:r w:rsidR="00657170" w:rsidRPr="00F035F6">
        <w:rPr>
          <w:rFonts w:ascii="Calibri" w:eastAsia="Calibri" w:hAnsi="Calibri" w:cs="Calibri"/>
          <w:b/>
          <w:color w:val="000000"/>
          <w:sz w:val="24"/>
        </w:rPr>
        <w:t xml:space="preserve">Staff agreed and referenced this provision to the Board of Directors </w:t>
      </w:r>
      <w:r w:rsidR="001F3637" w:rsidRPr="00F035F6">
        <w:rPr>
          <w:rFonts w:ascii="Calibri" w:eastAsia="Calibri" w:hAnsi="Calibri" w:cs="Calibri"/>
          <w:b/>
          <w:color w:val="000000"/>
          <w:sz w:val="24"/>
        </w:rPr>
        <w:t xml:space="preserve">for approval </w:t>
      </w:r>
      <w:r w:rsidR="00657170" w:rsidRPr="00F035F6">
        <w:rPr>
          <w:rFonts w:ascii="Calibri" w:eastAsia="Calibri" w:hAnsi="Calibri" w:cs="Calibri"/>
          <w:b/>
          <w:color w:val="000000"/>
          <w:sz w:val="24"/>
        </w:rPr>
        <w:t xml:space="preserve">at the </w:t>
      </w:r>
      <w:r w:rsidR="001F3637" w:rsidRPr="00F035F6">
        <w:rPr>
          <w:rFonts w:ascii="Calibri" w:eastAsia="Calibri" w:hAnsi="Calibri" w:cs="Calibri"/>
          <w:b/>
          <w:color w:val="000000"/>
          <w:sz w:val="24"/>
        </w:rPr>
        <w:t>July 14</w:t>
      </w:r>
      <w:r w:rsidR="001F3637" w:rsidRPr="00F035F6">
        <w:rPr>
          <w:rFonts w:ascii="Calibri" w:eastAsia="Calibri" w:hAnsi="Calibri" w:cs="Calibri"/>
          <w:b/>
          <w:color w:val="000000"/>
          <w:sz w:val="24"/>
          <w:vertAlign w:val="superscript"/>
        </w:rPr>
        <w:t>th</w:t>
      </w:r>
      <w:r w:rsidR="001F3637" w:rsidRPr="00F035F6">
        <w:rPr>
          <w:rFonts w:ascii="Calibri" w:eastAsia="Calibri" w:hAnsi="Calibri" w:cs="Calibri"/>
          <w:b/>
          <w:color w:val="000000"/>
          <w:sz w:val="24"/>
        </w:rPr>
        <w:t xml:space="preserve"> board meeting.</w:t>
      </w:r>
      <w:r w:rsidR="00657170" w:rsidRPr="00F035F6">
        <w:rPr>
          <w:rFonts w:ascii="Calibri" w:eastAsia="Calibri" w:hAnsi="Calibri" w:cs="Calibri"/>
          <w:b/>
          <w:color w:val="000000"/>
          <w:sz w:val="24"/>
        </w:rPr>
        <w:t xml:space="preserve"> </w:t>
      </w:r>
    </w:p>
    <w:p w:rsidR="00893AE6" w:rsidRDefault="00893AE6">
      <w:pPr>
        <w:rPr>
          <w:rFonts w:ascii="Helvetica" w:eastAsia="Times New Roman" w:hAnsi="Helvetica"/>
        </w:rPr>
      </w:pPr>
    </w:p>
    <w:p w:rsidR="005B0B63" w:rsidRDefault="00893AE6" w:rsidP="006E22B4">
      <w:pPr>
        <w:pStyle w:val="ListParagraph"/>
        <w:numPr>
          <w:ilvl w:val="0"/>
          <w:numId w:val="1"/>
        </w:numPr>
        <w:rPr>
          <w:rFonts w:ascii="Helvetica" w:hAnsi="Helvetica"/>
        </w:rPr>
      </w:pPr>
      <w:r w:rsidRPr="006E22B4">
        <w:rPr>
          <w:rFonts w:ascii="Helvetica" w:hAnsi="Helvetica"/>
        </w:rPr>
        <w:t>What source(s) should be used to determine the scoring for Section III (Priority Development Areas) Item C. The Louisiana Housing Needs Assessment is dated 2019. The Assessment also does not specifically deal with all the categories listed in Scoring Criteria III, C.</w:t>
      </w:r>
    </w:p>
    <w:p w:rsidR="00F86CA9" w:rsidRDefault="00F86CA9" w:rsidP="006E22B4">
      <w:pPr>
        <w:ind w:left="360"/>
        <w:rPr>
          <w:rFonts w:ascii="Helvetica" w:hAnsi="Helvetica"/>
          <w:b/>
        </w:rPr>
      </w:pPr>
    </w:p>
    <w:p w:rsidR="006E22B4" w:rsidRPr="006E22B4" w:rsidRDefault="006E22B4" w:rsidP="006E22B4">
      <w:pPr>
        <w:ind w:left="360"/>
        <w:rPr>
          <w:rFonts w:ascii="Helvetica" w:hAnsi="Helvetica"/>
          <w:b/>
        </w:rPr>
      </w:pPr>
      <w:r w:rsidRPr="006E22B4">
        <w:rPr>
          <w:rFonts w:ascii="Helvetica" w:hAnsi="Helvetica"/>
          <w:b/>
        </w:rPr>
        <w:t xml:space="preserve">Answer: </w:t>
      </w:r>
      <w:hyperlink r:id="rId8" w:history="1">
        <w:r w:rsidRPr="006E22B4">
          <w:rPr>
            <w:rStyle w:val="Hyperlink"/>
            <w:rFonts w:ascii="Helvetica" w:hAnsi="Helvetica"/>
            <w:b/>
          </w:rPr>
          <w:t>https://www.huduser.gov/portal/datasets/lihtc.html</w:t>
        </w:r>
      </w:hyperlink>
    </w:p>
    <w:p w:rsidR="00893AE6" w:rsidRDefault="00893AE6">
      <w:pPr>
        <w:rPr>
          <w:rFonts w:ascii="Helvetica" w:hAnsi="Helvetica"/>
        </w:rPr>
      </w:pPr>
    </w:p>
    <w:p w:rsidR="00893AE6" w:rsidRDefault="00893AE6" w:rsidP="006E22B4">
      <w:pPr>
        <w:pStyle w:val="ListParagraph"/>
        <w:numPr>
          <w:ilvl w:val="0"/>
          <w:numId w:val="1"/>
        </w:numPr>
        <w:rPr>
          <w:rFonts w:ascii="Helvetica" w:eastAsia="Times New Roman" w:hAnsi="Helvetica" w:cs="Helvetica"/>
        </w:rPr>
      </w:pPr>
      <w:r w:rsidRPr="006E22B4">
        <w:rPr>
          <w:rFonts w:ascii="Helvetica" w:eastAsia="Times New Roman" w:hAnsi="Helvetica" w:cs="Helvetica"/>
        </w:rPr>
        <w:t>Do the statements in the second paragraph on page 11 of the Draft QAP concerning per project and per developer limitations not applying if certain conditions are met apply to 9% competitive deals or Tax Exempt Bond deals only?</w:t>
      </w:r>
    </w:p>
    <w:p w:rsidR="00F86CA9" w:rsidRDefault="00F86CA9" w:rsidP="006E22B4">
      <w:pPr>
        <w:ind w:left="360"/>
        <w:rPr>
          <w:rFonts w:ascii="Helvetica" w:eastAsia="Times New Roman" w:hAnsi="Helvetica" w:cs="Helvetica"/>
          <w:b/>
        </w:rPr>
      </w:pPr>
    </w:p>
    <w:p w:rsidR="006E22B4" w:rsidRPr="00EC0AD1" w:rsidRDefault="00EC0AD1" w:rsidP="006E22B4">
      <w:pPr>
        <w:ind w:left="360"/>
        <w:rPr>
          <w:rFonts w:ascii="Helvetica" w:eastAsia="Times New Roman" w:hAnsi="Helvetica" w:cs="Helvetica"/>
          <w:b/>
        </w:rPr>
      </w:pPr>
      <w:r>
        <w:rPr>
          <w:rFonts w:ascii="Helvetica" w:eastAsia="Times New Roman" w:hAnsi="Helvetica" w:cs="Helvetica"/>
          <w:b/>
        </w:rPr>
        <w:t>Answer: T</w:t>
      </w:r>
      <w:r w:rsidR="004263AD">
        <w:rPr>
          <w:rFonts w:ascii="Helvetica" w:eastAsia="Times New Roman" w:hAnsi="Helvetica" w:cs="Helvetica"/>
          <w:b/>
        </w:rPr>
        <w:t>hose statements apply to T</w:t>
      </w:r>
      <w:r>
        <w:rPr>
          <w:rFonts w:ascii="Helvetica" w:eastAsia="Times New Roman" w:hAnsi="Helvetica" w:cs="Helvetica"/>
          <w:b/>
        </w:rPr>
        <w:t>ax Exempt Bond deals only.</w:t>
      </w:r>
    </w:p>
    <w:p w:rsidR="00893AE6" w:rsidRDefault="00893AE6"/>
    <w:p w:rsidR="00893AE6" w:rsidRDefault="00893AE6" w:rsidP="00D64519">
      <w:pPr>
        <w:pStyle w:val="ListParagraph"/>
        <w:numPr>
          <w:ilvl w:val="0"/>
          <w:numId w:val="1"/>
        </w:numPr>
      </w:pPr>
      <w:r>
        <w:lastRenderedPageBreak/>
        <w:t>Please explain what is expected from the developer that elects to provide Smart Thermostats in each unit therefore, provide development Wi-Fi.</w:t>
      </w:r>
      <w:r w:rsidR="00EC0AD1">
        <w:t xml:space="preserve">  </w:t>
      </w:r>
      <w:r>
        <w:t>Does this refer to Wi-Fi in common areas?</w:t>
      </w:r>
    </w:p>
    <w:p w:rsidR="00893AE6" w:rsidRPr="00EC0AD1" w:rsidRDefault="00EC0AD1" w:rsidP="00EC0AD1">
      <w:pPr>
        <w:ind w:left="360"/>
        <w:rPr>
          <w:rFonts w:ascii="Helvetica" w:eastAsia="Times New Roman" w:hAnsi="Helvetica" w:cs="Helvetica"/>
          <w:b/>
        </w:rPr>
      </w:pPr>
      <w:r w:rsidRPr="00EC0AD1">
        <w:rPr>
          <w:rFonts w:ascii="Helvetica" w:eastAsia="Times New Roman" w:hAnsi="Helvetica" w:cs="Helvetica"/>
          <w:b/>
        </w:rPr>
        <w:t xml:space="preserve">Answer: </w:t>
      </w:r>
      <w:r w:rsidR="009D442E">
        <w:rPr>
          <w:rFonts w:ascii="Helvetica" w:eastAsia="Times New Roman" w:hAnsi="Helvetica" w:cs="Helvetica"/>
          <w:b/>
        </w:rPr>
        <w:t>This requirement requires more than just Wi-Fi in the common areas.  It requires t</w:t>
      </w:r>
      <w:r w:rsidRPr="00EC0AD1">
        <w:rPr>
          <w:rFonts w:ascii="Helvetica" w:eastAsia="Times New Roman" w:hAnsi="Helvetica" w:cs="Helvetica"/>
          <w:b/>
        </w:rPr>
        <w:t>enant access to the internet via a development deployed Wi-Fi network. Coverage must be available throughout the units as well as all areas of the development outdoors.</w:t>
      </w:r>
    </w:p>
    <w:p w:rsidR="00893AE6" w:rsidRDefault="00893AE6" w:rsidP="00EC0AD1">
      <w:pPr>
        <w:pStyle w:val="ListParagraph"/>
        <w:numPr>
          <w:ilvl w:val="0"/>
          <w:numId w:val="1"/>
        </w:numPr>
      </w:pPr>
      <w:r>
        <w:t>Per the allocation sheet posted on LHC… For the three metro</w:t>
      </w:r>
      <w:r w:rsidR="00E61F6F">
        <w:t xml:space="preserve"> area</w:t>
      </w:r>
      <w:r>
        <w:t>s,</w:t>
      </w:r>
      <w:r w:rsidR="00E61F6F">
        <w:t xml:space="preserve"> </w:t>
      </w:r>
      <w:r>
        <w:t>(Caddo, Orleans, and East Baton Rouge) will these areas only receive Tax Credits if a development is in a CNI area?</w:t>
      </w:r>
    </w:p>
    <w:p w:rsidR="00EC0AD1" w:rsidRPr="00EC0AD1" w:rsidRDefault="00E917E8" w:rsidP="00EC0AD1">
      <w:pPr>
        <w:ind w:left="360"/>
        <w:rPr>
          <w:rFonts w:ascii="Helvetica" w:eastAsia="Times New Roman" w:hAnsi="Helvetica" w:cs="Helvetica"/>
          <w:b/>
        </w:rPr>
      </w:pPr>
      <w:r>
        <w:rPr>
          <w:rFonts w:ascii="Helvetica" w:hAnsi="Helvetica" w:cs="Helvetica"/>
          <w:b/>
          <w:bCs/>
        </w:rPr>
        <w:t xml:space="preserve">Answer:  </w:t>
      </w:r>
      <w:r w:rsidR="00FC024A" w:rsidRPr="00E917E8">
        <w:rPr>
          <w:rFonts w:ascii="Helvetica" w:hAnsi="Helvetica" w:cs="Helvetica"/>
          <w:b/>
          <w:bCs/>
        </w:rPr>
        <w:t>Projects not in a CNI in the</w:t>
      </w:r>
      <w:r w:rsidR="00FC024A" w:rsidRPr="00E917E8">
        <w:t xml:space="preserve"> </w:t>
      </w:r>
      <w:r w:rsidR="00FC024A" w:rsidRPr="00E917E8">
        <w:rPr>
          <w:rFonts w:ascii="Helvetica" w:hAnsi="Helvetica" w:cs="Helvetica"/>
          <w:b/>
          <w:bCs/>
        </w:rPr>
        <w:t>Caddo, Orleans, and East Baton Rouge  metro areas can apply, but may or may not be funded based on pool selection and scoring. There is a set-aside for CNI developments located in the three CNI designated areas so CNI projects would be funded first up to 1.5 million. If all the 1.5 million per CNI set aside is not used, the remaining funds would be awarded in accordance with established protocols per the QAP.</w:t>
      </w:r>
    </w:p>
    <w:p w:rsidR="00893AE6" w:rsidRDefault="00893AE6" w:rsidP="00893AE6"/>
    <w:p w:rsidR="00893AE6" w:rsidRPr="003B08BF" w:rsidRDefault="00893AE6" w:rsidP="00EC0AD1">
      <w:pPr>
        <w:pStyle w:val="ListParagraph"/>
        <w:numPr>
          <w:ilvl w:val="0"/>
          <w:numId w:val="1"/>
        </w:numPr>
        <w:rPr>
          <w:highlight w:val="yellow"/>
        </w:rPr>
      </w:pPr>
      <w:r w:rsidRPr="003B08BF">
        <w:rPr>
          <w:highlight w:val="yellow"/>
        </w:rPr>
        <w:t>Referring to the highlighted item below, does the tie-breaking statement imply LIHTCs will be awarded to the development with a greater or lower percentage of low-income units?</w:t>
      </w:r>
    </w:p>
    <w:p w:rsidR="00893AE6" w:rsidRPr="003B08BF" w:rsidRDefault="00893AE6" w:rsidP="00EC0AD1">
      <w:pPr>
        <w:ind w:left="720"/>
        <w:rPr>
          <w:highlight w:val="yellow"/>
        </w:rPr>
      </w:pPr>
      <w:r w:rsidRPr="003B08BF">
        <w:rPr>
          <w:highlight w:val="yellow"/>
        </w:rPr>
        <w:t xml:space="preserve">“h. </w:t>
      </w:r>
      <w:r w:rsidRPr="003B08BF">
        <w:rPr>
          <w:b/>
          <w:bCs/>
          <w:highlight w:val="yellow"/>
        </w:rPr>
        <w:t>Tie‐breaking Procedures:</w:t>
      </w:r>
      <w:r w:rsidRPr="003B08BF">
        <w:rPr>
          <w:highlight w:val="yellow"/>
        </w:rPr>
        <w:t xml:space="preserve"> In the event of a tie between applications for which there are insufficient LIHTCs to award each, LHC will use the following tie‐breaking procedure:  </w:t>
      </w:r>
    </w:p>
    <w:p w:rsidR="00893AE6" w:rsidRPr="003B08BF" w:rsidRDefault="00893AE6" w:rsidP="00893AE6">
      <w:pPr>
        <w:ind w:left="720"/>
        <w:rPr>
          <w:highlight w:val="yellow"/>
        </w:rPr>
      </w:pPr>
      <w:r w:rsidRPr="003B08BF">
        <w:rPr>
          <w:highlight w:val="yellow"/>
        </w:rPr>
        <w:t xml:space="preserve">I. Selection Criteria IA(i): percentage of low‐income units.  </w:t>
      </w:r>
    </w:p>
    <w:p w:rsidR="00893AE6" w:rsidRPr="003B08BF" w:rsidRDefault="00893AE6" w:rsidP="00893AE6">
      <w:pPr>
        <w:ind w:left="720"/>
        <w:rPr>
          <w:highlight w:val="yellow"/>
        </w:rPr>
      </w:pPr>
      <w:r w:rsidRPr="003B08BF">
        <w:rPr>
          <w:highlight w:val="yellow"/>
        </w:rPr>
        <w:t xml:space="preserve">II. Selection Criteria IA(ii): being located in a census tract with high area median incomes.  </w:t>
      </w:r>
    </w:p>
    <w:p w:rsidR="00893AE6" w:rsidRPr="003B08BF" w:rsidRDefault="00893AE6" w:rsidP="00893AE6">
      <w:pPr>
        <w:ind w:left="720"/>
        <w:rPr>
          <w:highlight w:val="yellow"/>
        </w:rPr>
      </w:pPr>
      <w:r w:rsidRPr="003B08BF">
        <w:rPr>
          <w:highlight w:val="yellow"/>
        </w:rPr>
        <w:t xml:space="preserve">III. Requesting the lowest amount of LIHTCs. </w:t>
      </w:r>
    </w:p>
    <w:p w:rsidR="00893AE6" w:rsidRPr="003B08BF" w:rsidRDefault="00893AE6" w:rsidP="00893AE6">
      <w:pPr>
        <w:ind w:left="720"/>
        <w:rPr>
          <w:highlight w:val="yellow"/>
        </w:rPr>
      </w:pPr>
      <w:r w:rsidRPr="003B08BF">
        <w:rPr>
          <w:highlight w:val="yellow"/>
        </w:rPr>
        <w:t>IV. Earliest application submittal.”</w:t>
      </w:r>
    </w:p>
    <w:p w:rsidR="00EC0AD1" w:rsidRDefault="00EC0AD1" w:rsidP="00EC0AD1">
      <w:pPr>
        <w:ind w:left="360"/>
        <w:rPr>
          <w:rFonts w:ascii="Helvetica" w:eastAsia="Times New Roman" w:hAnsi="Helvetica" w:cs="Helvetica"/>
          <w:b/>
        </w:rPr>
      </w:pPr>
      <w:r w:rsidRPr="003B08BF">
        <w:rPr>
          <w:rFonts w:ascii="Helvetica" w:eastAsia="Times New Roman" w:hAnsi="Helvetica" w:cs="Helvetica"/>
          <w:b/>
          <w:highlight w:val="yellow"/>
        </w:rPr>
        <w:t>Answer: Greater percentage of low income units.</w:t>
      </w:r>
    </w:p>
    <w:p w:rsidR="008F6F7E" w:rsidRPr="001A1E32" w:rsidRDefault="008F6F7E" w:rsidP="00EC0AD1">
      <w:pPr>
        <w:ind w:left="360"/>
        <w:rPr>
          <w:rFonts w:ascii="Helvetica" w:eastAsia="Times New Roman" w:hAnsi="Helvetica" w:cs="Helvetica"/>
          <w:b/>
        </w:rPr>
      </w:pPr>
      <w:r w:rsidRPr="001A1E32">
        <w:rPr>
          <w:rFonts w:ascii="Helvetica" w:eastAsia="Times New Roman" w:hAnsi="Helvetica" w:cs="Helvetica"/>
          <w:b/>
          <w:highlight w:val="cyan"/>
        </w:rPr>
        <w:t xml:space="preserve">Correction: </w:t>
      </w:r>
      <w:r w:rsidR="00185047" w:rsidRPr="001A1E32">
        <w:rPr>
          <w:highlight w:val="cyan"/>
        </w:rPr>
        <w:t xml:space="preserve">The items listed represent the QAP’s tie breaking criteria in aggregate none of which are a single stand-alone determinate.  </w:t>
      </w:r>
      <w:r w:rsidRPr="001A1E32">
        <w:rPr>
          <w:highlight w:val="cyan"/>
        </w:rPr>
        <w:t xml:space="preserve">  </w:t>
      </w:r>
      <w:r w:rsidR="00FC024A" w:rsidRPr="001A1E32">
        <w:rPr>
          <w:highlight w:val="cyan"/>
        </w:rPr>
        <w:t xml:space="preserve">  </w:t>
      </w:r>
      <w:r w:rsidR="00FC024A" w:rsidRPr="001A1E32">
        <w:rPr>
          <w:rFonts w:ascii="Helvetica" w:hAnsi="Helvetica" w:cs="Helvetica"/>
          <w:highlight w:val="cyan"/>
        </w:rPr>
        <w:t>The “Tie Breaking” procedure is utilized in the event there are several projects with the same score within eligibility for funding. For purposes of the tie breaking process, the reference to item “</w:t>
      </w:r>
      <w:r w:rsidR="00FC024A" w:rsidRPr="001A1E32">
        <w:rPr>
          <w:rFonts w:ascii="Helvetica" w:hAnsi="Helvetica" w:cs="Helvetica"/>
          <w:b/>
          <w:bCs/>
          <w:highlight w:val="cyan"/>
        </w:rPr>
        <w:t xml:space="preserve">I. </w:t>
      </w:r>
      <w:r w:rsidR="00FC024A" w:rsidRPr="001A1E32">
        <w:rPr>
          <w:b/>
          <w:bCs/>
          <w:highlight w:val="cyan"/>
        </w:rPr>
        <w:t xml:space="preserve">Selection Criteria IA(i): </w:t>
      </w:r>
      <w:r w:rsidR="00FC024A" w:rsidRPr="001A1E32">
        <w:rPr>
          <w:b/>
          <w:bCs/>
          <w:highlight w:val="cyan"/>
          <w:u w:val="single"/>
        </w:rPr>
        <w:t>Project Diversity</w:t>
      </w:r>
      <w:r w:rsidR="00FC024A" w:rsidRPr="001A1E32">
        <w:rPr>
          <w:b/>
          <w:bCs/>
          <w:highlight w:val="cyan"/>
        </w:rPr>
        <w:t xml:space="preserve"> - percentage of low‐income units” </w:t>
      </w:r>
      <w:r w:rsidR="00FC024A" w:rsidRPr="001A1E32">
        <w:rPr>
          <w:highlight w:val="cyan"/>
        </w:rPr>
        <w:t xml:space="preserve">does </w:t>
      </w:r>
      <w:r w:rsidR="00FC024A" w:rsidRPr="001A1E32">
        <w:rPr>
          <w:b/>
          <w:bCs/>
          <w:highlight w:val="cyan"/>
          <w:u w:val="single"/>
        </w:rPr>
        <w:t>not</w:t>
      </w:r>
      <w:r w:rsidR="00FC024A" w:rsidRPr="001A1E32">
        <w:rPr>
          <w:highlight w:val="cyan"/>
        </w:rPr>
        <w:t xml:space="preserve"> relate to the number of Low-Income units, but rather whether or not those points were selected at all in the application’s selection criteria. The first tier of the tie-breaker is based on the point scored for that category</w:t>
      </w:r>
      <w:r w:rsidR="00D14306" w:rsidRPr="001A1E32">
        <w:rPr>
          <w:highlight w:val="cyan"/>
        </w:rPr>
        <w:t>.</w:t>
      </w:r>
    </w:p>
    <w:p w:rsidR="004B1C15" w:rsidRDefault="004B1C15" w:rsidP="004B1C15">
      <w:pPr>
        <w:spacing w:after="0" w:line="240" w:lineRule="auto"/>
        <w:ind w:left="720"/>
        <w:rPr>
          <w:rFonts w:eastAsia="Times New Roman"/>
        </w:rPr>
      </w:pPr>
    </w:p>
    <w:p w:rsidR="006F1DB2" w:rsidRDefault="006F1DB2" w:rsidP="006F1DB2">
      <w:pPr>
        <w:numPr>
          <w:ilvl w:val="0"/>
          <w:numId w:val="1"/>
        </w:numPr>
        <w:spacing w:after="0" w:line="240" w:lineRule="auto"/>
        <w:rPr>
          <w:rFonts w:eastAsia="Times New Roman"/>
        </w:rPr>
      </w:pPr>
      <w:r>
        <w:rPr>
          <w:rFonts w:eastAsia="Times New Roman"/>
        </w:rPr>
        <w:t>With the new census data expected to be released in October 2021 (after competitive applications are submitted but before they’re ranked and awarded), how will LHC score applications where census tract boundaries, income levels, and QCT/DDA designations may change after the time of submission?</w:t>
      </w:r>
    </w:p>
    <w:p w:rsidR="00E61F6F" w:rsidRDefault="00E61F6F" w:rsidP="00E61F6F">
      <w:pPr>
        <w:ind w:left="360"/>
        <w:rPr>
          <w:rFonts w:ascii="Helvetica" w:eastAsia="Times New Roman" w:hAnsi="Helvetica" w:cs="Helvetica"/>
          <w:b/>
        </w:rPr>
      </w:pPr>
    </w:p>
    <w:p w:rsidR="00E61F6F" w:rsidRDefault="00E61F6F" w:rsidP="00E61F6F">
      <w:pPr>
        <w:ind w:left="360"/>
        <w:rPr>
          <w:rFonts w:ascii="Helvetica" w:eastAsia="Times New Roman" w:hAnsi="Helvetica" w:cs="Helvetica"/>
          <w:b/>
        </w:rPr>
      </w:pPr>
      <w:r w:rsidRPr="00E61F6F">
        <w:rPr>
          <w:rFonts w:ascii="Helvetica" w:eastAsia="Times New Roman" w:hAnsi="Helvetica" w:cs="Helvetica"/>
          <w:b/>
        </w:rPr>
        <w:t xml:space="preserve">Answer: </w:t>
      </w:r>
      <w:r>
        <w:rPr>
          <w:rFonts w:ascii="Helvetica" w:eastAsia="Times New Roman" w:hAnsi="Helvetica" w:cs="Helvetica"/>
          <w:b/>
        </w:rPr>
        <w:t>Staff’s review will be based on information available at time of submission</w:t>
      </w:r>
      <w:r w:rsidR="009D442E">
        <w:rPr>
          <w:rFonts w:ascii="Helvetica" w:eastAsia="Times New Roman" w:hAnsi="Helvetica" w:cs="Helvetica"/>
          <w:b/>
        </w:rPr>
        <w:t>.</w:t>
      </w:r>
    </w:p>
    <w:p w:rsidR="001D33A7" w:rsidRDefault="001D33A7" w:rsidP="001D33A7">
      <w:pPr>
        <w:pStyle w:val="ListParagraph"/>
        <w:numPr>
          <w:ilvl w:val="0"/>
          <w:numId w:val="1"/>
        </w:numPr>
      </w:pPr>
      <w:r>
        <w:lastRenderedPageBreak/>
        <w:t>Community Notification</w:t>
      </w:r>
    </w:p>
    <w:p w:rsidR="001D33A7" w:rsidRDefault="001D33A7" w:rsidP="001D33A7">
      <w:pPr>
        <w:pStyle w:val="ListParagraph"/>
      </w:pPr>
      <w:r>
        <w:t>Why is it necessary to require “certified mailing receipt” as evidence of submission. Why can’t delivery confirmation from FedEx, UPS or email be accepted.</w:t>
      </w:r>
    </w:p>
    <w:p w:rsidR="001D33A7" w:rsidRPr="00F86CA9" w:rsidRDefault="001D33A7" w:rsidP="001D33A7">
      <w:pPr>
        <w:pStyle w:val="ListParagraph"/>
        <w:rPr>
          <w:sz w:val="28"/>
          <w:szCs w:val="28"/>
        </w:rPr>
      </w:pPr>
      <w:r w:rsidRPr="00F86CA9">
        <w:rPr>
          <w:sz w:val="28"/>
          <w:szCs w:val="28"/>
        </w:rPr>
        <w:t>Excerpt from the QAP</w:t>
      </w:r>
    </w:p>
    <w:p w:rsidR="001D33A7" w:rsidRPr="001D33A7" w:rsidRDefault="001D33A7" w:rsidP="001D33A7">
      <w:pPr>
        <w:pStyle w:val="ListParagraph"/>
        <w:autoSpaceDE w:val="0"/>
        <w:autoSpaceDN w:val="0"/>
        <w:rPr>
          <w:rFonts w:ascii="Calibri" w:hAnsi="Calibri"/>
          <w:i/>
          <w:iCs/>
        </w:rPr>
      </w:pPr>
      <w:r w:rsidRPr="00F86CA9">
        <w:rPr>
          <w:i/>
          <w:iCs/>
        </w:rPr>
        <w:t>The Applicant must provide evidence of the notification by documentation of certified mailing receipts, that the applicant has submitted Correspondence regarding the application to the Mayor and the Chair or President of the local governing authority where the project is located</w:t>
      </w:r>
      <w:r w:rsidRPr="00F86CA9">
        <w:rPr>
          <w:rFonts w:ascii="Calibri-Bold" w:hAnsi="Calibri-Bold"/>
          <w:b/>
          <w:bCs/>
          <w:i/>
          <w:iCs/>
        </w:rPr>
        <w:t>. *Please note that notifications sent via email, will NOT be accepted.</w:t>
      </w:r>
    </w:p>
    <w:p w:rsidR="001D33A7" w:rsidRPr="001D33A7" w:rsidRDefault="001D33A7" w:rsidP="001D33A7">
      <w:pPr>
        <w:pStyle w:val="ListParagraph"/>
        <w:rPr>
          <w:color w:val="1F497D"/>
        </w:rPr>
      </w:pPr>
    </w:p>
    <w:p w:rsidR="001D33A7" w:rsidRPr="00F86CA9" w:rsidRDefault="00302013" w:rsidP="00F86CA9">
      <w:pPr>
        <w:ind w:left="360"/>
        <w:rPr>
          <w:rFonts w:ascii="Helvetica" w:eastAsia="Times New Roman" w:hAnsi="Helvetica" w:cs="Helvetica"/>
          <w:b/>
        </w:rPr>
      </w:pPr>
      <w:r w:rsidRPr="00F86CA9">
        <w:rPr>
          <w:rFonts w:ascii="Helvetica" w:eastAsia="Times New Roman" w:hAnsi="Helvetica" w:cs="Helvetica"/>
          <w:b/>
        </w:rPr>
        <w:t>Answer</w:t>
      </w:r>
      <w:r w:rsidR="001D33A7" w:rsidRPr="00F86CA9">
        <w:rPr>
          <w:rFonts w:ascii="Helvetica" w:eastAsia="Times New Roman" w:hAnsi="Helvetica" w:cs="Helvetica"/>
          <w:b/>
        </w:rPr>
        <w:t>: Delivery confirmation can be evidenced by submission of documentation by either FedEx, UPS or US Postal Service only</w:t>
      </w:r>
      <w:r w:rsidR="009D442E">
        <w:rPr>
          <w:rFonts w:ascii="Helvetica" w:eastAsia="Times New Roman" w:hAnsi="Helvetica" w:cs="Helvetica"/>
          <w:b/>
        </w:rPr>
        <w:t>.</w:t>
      </w:r>
      <w:r w:rsidR="001D33A7" w:rsidRPr="00F86CA9">
        <w:rPr>
          <w:rFonts w:ascii="Helvetica" w:eastAsia="Times New Roman" w:hAnsi="Helvetica" w:cs="Helvetica"/>
          <w:b/>
        </w:rPr>
        <w:t xml:space="preserve"> </w:t>
      </w:r>
      <w:r w:rsidR="009D442E">
        <w:rPr>
          <w:rFonts w:ascii="Helvetica" w:eastAsia="Times New Roman" w:hAnsi="Helvetica" w:cs="Helvetica"/>
          <w:b/>
        </w:rPr>
        <w:t>N</w:t>
      </w:r>
      <w:r w:rsidR="001D33A7" w:rsidRPr="00F86CA9">
        <w:rPr>
          <w:rFonts w:ascii="Helvetica" w:eastAsia="Times New Roman" w:hAnsi="Helvetica" w:cs="Helvetica"/>
          <w:b/>
        </w:rPr>
        <w:t>otifications sent vial email, will not be accepted.</w:t>
      </w:r>
    </w:p>
    <w:p w:rsidR="001D33A7" w:rsidRPr="001D33A7" w:rsidRDefault="001D33A7" w:rsidP="001D33A7">
      <w:pPr>
        <w:pStyle w:val="ListParagraph"/>
        <w:rPr>
          <w:color w:val="1F497D"/>
        </w:rPr>
      </w:pPr>
    </w:p>
    <w:p w:rsidR="001D33A7" w:rsidRDefault="001D33A7" w:rsidP="001D33A7">
      <w:pPr>
        <w:pStyle w:val="ListParagraph"/>
        <w:numPr>
          <w:ilvl w:val="0"/>
          <w:numId w:val="1"/>
        </w:numPr>
      </w:pPr>
      <w:r>
        <w:t>Zoning</w:t>
      </w:r>
    </w:p>
    <w:p w:rsidR="001D33A7" w:rsidRDefault="001D33A7" w:rsidP="001D33A7">
      <w:pPr>
        <w:pStyle w:val="ListParagraph"/>
      </w:pPr>
      <w:r>
        <w:t>Why notification sent via email from governmental official will not be accepted.</w:t>
      </w:r>
    </w:p>
    <w:p w:rsidR="001D33A7" w:rsidRDefault="001D33A7" w:rsidP="001D33A7">
      <w:pPr>
        <w:pStyle w:val="ListParagraph"/>
      </w:pPr>
      <w:r>
        <w:t>Selection Criteria</w:t>
      </w:r>
    </w:p>
    <w:p w:rsidR="001D33A7" w:rsidRPr="00F86CA9" w:rsidRDefault="001D33A7" w:rsidP="001D33A7">
      <w:pPr>
        <w:pStyle w:val="ListParagraph"/>
        <w:rPr>
          <w:sz w:val="28"/>
          <w:szCs w:val="28"/>
        </w:rPr>
      </w:pPr>
      <w:r w:rsidRPr="00F86CA9">
        <w:rPr>
          <w:sz w:val="28"/>
          <w:szCs w:val="28"/>
        </w:rPr>
        <w:t>Excerpt from the QAP</w:t>
      </w:r>
    </w:p>
    <w:p w:rsidR="001D33A7" w:rsidRPr="00F86CA9" w:rsidRDefault="001D33A7" w:rsidP="001D33A7">
      <w:pPr>
        <w:pStyle w:val="ListParagraph"/>
        <w:autoSpaceDE w:val="0"/>
        <w:autoSpaceDN w:val="0"/>
        <w:rPr>
          <w:color w:val="404040"/>
        </w:rPr>
      </w:pPr>
      <w:r w:rsidRPr="00F86CA9">
        <w:rPr>
          <w:rFonts w:ascii="Calibri-Bold" w:hAnsi="Calibri-Bold"/>
          <w:b/>
          <w:bCs/>
          <w:color w:val="404040"/>
        </w:rPr>
        <w:t xml:space="preserve">Zoning: </w:t>
      </w:r>
      <w:r w:rsidRPr="00F86CA9">
        <w:rPr>
          <w:color w:val="404040"/>
        </w:rPr>
        <w:t>Appropriate zoning is required at the time of application and must be evidenced by</w:t>
      </w:r>
    </w:p>
    <w:p w:rsidR="001D33A7" w:rsidRPr="00F86CA9" w:rsidRDefault="001D33A7" w:rsidP="001D33A7">
      <w:pPr>
        <w:pStyle w:val="ListParagraph"/>
        <w:autoSpaceDE w:val="0"/>
        <w:autoSpaceDN w:val="0"/>
        <w:rPr>
          <w:color w:val="404040"/>
        </w:rPr>
      </w:pPr>
      <w:r w:rsidRPr="00F86CA9">
        <w:rPr>
          <w:color w:val="404040"/>
        </w:rPr>
        <w:t>submitting the following:</w:t>
      </w:r>
    </w:p>
    <w:p w:rsidR="001D33A7" w:rsidRPr="00F86CA9" w:rsidRDefault="001D33A7" w:rsidP="001D33A7">
      <w:pPr>
        <w:pStyle w:val="ListParagraph"/>
        <w:autoSpaceDE w:val="0"/>
        <w:autoSpaceDN w:val="0"/>
        <w:rPr>
          <w:color w:val="404040"/>
        </w:rPr>
      </w:pPr>
      <w:r w:rsidRPr="00F86CA9">
        <w:rPr>
          <w:color w:val="404040"/>
        </w:rPr>
        <w:t>a. an official local jurisdiction map that the site is zoned for the proposed project type.</w:t>
      </w:r>
    </w:p>
    <w:p w:rsidR="001D33A7" w:rsidRPr="00F86CA9" w:rsidRDefault="001D33A7" w:rsidP="001D33A7">
      <w:pPr>
        <w:pStyle w:val="ListParagraph"/>
        <w:autoSpaceDE w:val="0"/>
        <w:autoSpaceDN w:val="0"/>
        <w:rPr>
          <w:color w:val="404040"/>
        </w:rPr>
      </w:pPr>
      <w:r w:rsidRPr="00F86CA9">
        <w:rPr>
          <w:color w:val="404040"/>
          <w:sz w:val="20"/>
          <w:szCs w:val="20"/>
        </w:rPr>
        <w:t xml:space="preserve">b. </w:t>
      </w:r>
      <w:r w:rsidRPr="00F86CA9">
        <w:rPr>
          <w:color w:val="404040"/>
        </w:rPr>
        <w:t>a signed letter from an official of the jurisdiction stating either that (i) the proposed project is</w:t>
      </w:r>
    </w:p>
    <w:p w:rsidR="001D33A7" w:rsidRPr="00F86CA9" w:rsidRDefault="001D33A7" w:rsidP="001D33A7">
      <w:pPr>
        <w:pStyle w:val="ListParagraph"/>
        <w:autoSpaceDE w:val="0"/>
        <w:autoSpaceDN w:val="0"/>
        <w:rPr>
          <w:color w:val="404040"/>
        </w:rPr>
      </w:pPr>
      <w:r w:rsidRPr="00F86CA9">
        <w:rPr>
          <w:color w:val="404040"/>
        </w:rPr>
        <w:t>consistent with existing zone requirements or (ii) changing the existing zoning requirements to</w:t>
      </w:r>
    </w:p>
    <w:p w:rsidR="001D33A7" w:rsidRPr="00F86CA9" w:rsidRDefault="001D33A7" w:rsidP="001D33A7">
      <w:pPr>
        <w:pStyle w:val="ListParagraph"/>
        <w:autoSpaceDE w:val="0"/>
        <w:autoSpaceDN w:val="0"/>
        <w:rPr>
          <w:color w:val="404040"/>
        </w:rPr>
      </w:pPr>
      <w:r w:rsidRPr="00F86CA9">
        <w:rPr>
          <w:color w:val="404040"/>
        </w:rPr>
        <w:t>permit the project will be completed no later than the date for LIHTC reservations.</w:t>
      </w:r>
    </w:p>
    <w:p w:rsidR="001D33A7" w:rsidRPr="001D33A7" w:rsidRDefault="001D33A7" w:rsidP="001D33A7">
      <w:pPr>
        <w:pStyle w:val="ListParagraph"/>
        <w:rPr>
          <w:rFonts w:ascii="Calibri-Bold" w:hAnsi="Calibri-Bold"/>
          <w:b/>
          <w:bCs/>
          <w:color w:val="404040"/>
          <w:sz w:val="20"/>
          <w:szCs w:val="20"/>
        </w:rPr>
      </w:pPr>
      <w:r w:rsidRPr="00F86CA9">
        <w:rPr>
          <w:color w:val="404040"/>
          <w:sz w:val="20"/>
          <w:szCs w:val="20"/>
        </w:rPr>
        <w:t>*</w:t>
      </w:r>
      <w:r w:rsidRPr="00F86CA9">
        <w:rPr>
          <w:rFonts w:ascii="Calibri-Bold" w:hAnsi="Calibri-Bold"/>
          <w:b/>
          <w:bCs/>
          <w:color w:val="404040"/>
          <w:sz w:val="20"/>
          <w:szCs w:val="20"/>
        </w:rPr>
        <w:t>Please note that notifications sent via email, will NOT be accepted.</w:t>
      </w:r>
    </w:p>
    <w:p w:rsidR="001D33A7" w:rsidRPr="001D33A7" w:rsidRDefault="001D33A7" w:rsidP="001D33A7">
      <w:pPr>
        <w:pStyle w:val="ListParagraph"/>
        <w:rPr>
          <w:rFonts w:ascii="Calibri" w:hAnsi="Calibri"/>
          <w:color w:val="1F497D"/>
        </w:rPr>
      </w:pPr>
    </w:p>
    <w:p w:rsidR="001D33A7" w:rsidRPr="00F86CA9" w:rsidRDefault="00302013" w:rsidP="00F86CA9">
      <w:pPr>
        <w:ind w:left="360"/>
        <w:rPr>
          <w:rFonts w:ascii="Helvetica" w:eastAsia="Times New Roman" w:hAnsi="Helvetica" w:cs="Helvetica"/>
          <w:b/>
        </w:rPr>
      </w:pPr>
      <w:r w:rsidRPr="00F86CA9">
        <w:rPr>
          <w:rFonts w:ascii="Helvetica" w:eastAsia="Times New Roman" w:hAnsi="Helvetica" w:cs="Helvetica"/>
          <w:b/>
        </w:rPr>
        <w:t>Answer</w:t>
      </w:r>
      <w:r w:rsidR="001D33A7" w:rsidRPr="00F86CA9">
        <w:rPr>
          <w:rFonts w:ascii="Helvetica" w:eastAsia="Times New Roman" w:hAnsi="Helvetica" w:cs="Helvetica"/>
          <w:b/>
        </w:rPr>
        <w:t xml:space="preserve">: </w:t>
      </w:r>
      <w:r w:rsidR="009D442E">
        <w:rPr>
          <w:rFonts w:ascii="Helvetica" w:eastAsia="Times New Roman" w:hAnsi="Helvetica" w:cs="Helvetica"/>
          <w:b/>
        </w:rPr>
        <w:t xml:space="preserve">LHC requires a </w:t>
      </w:r>
      <w:r w:rsidR="001D33A7" w:rsidRPr="00F86CA9">
        <w:rPr>
          <w:rFonts w:ascii="Helvetica" w:eastAsia="Times New Roman" w:hAnsi="Helvetica" w:cs="Helvetica"/>
          <w:b/>
        </w:rPr>
        <w:t>signed letter from an official of the jurisdiction stating either that (i) the proposed project is consistent with existing zone requirements or (ii) changing the existing zoning requirements to permit the project will be completed no later than the date for LIHTC reservations. Notifications sent via email, will not be accepted.</w:t>
      </w:r>
      <w:r w:rsidR="00DC3BA5">
        <w:rPr>
          <w:rFonts w:ascii="Helvetica" w:eastAsia="Times New Roman" w:hAnsi="Helvetica" w:cs="Helvetica"/>
          <w:b/>
        </w:rPr>
        <w:t xml:space="preserve"> LHC prefers a signed letter over an email because the formality of a letter is stronger evidence that the local jurisdiction understands the project is affordable and proves that an “official” of that office with capacity to sign on its behalf confirms the zoning.  An email could more easily be fraudulent or sent by someone without authority for the local jurisdiction.</w:t>
      </w:r>
    </w:p>
    <w:p w:rsidR="0060205C" w:rsidRPr="001D33A7" w:rsidRDefault="0060205C" w:rsidP="001D33A7">
      <w:pPr>
        <w:pStyle w:val="ListParagraph"/>
        <w:autoSpaceDE w:val="0"/>
        <w:autoSpaceDN w:val="0"/>
        <w:rPr>
          <w:color w:val="1F497D"/>
        </w:rPr>
      </w:pPr>
    </w:p>
    <w:p w:rsidR="001D33A7" w:rsidRPr="001D33A7" w:rsidRDefault="001D33A7" w:rsidP="00EC0AD1">
      <w:pPr>
        <w:pStyle w:val="ListParagraph"/>
        <w:numPr>
          <w:ilvl w:val="0"/>
          <w:numId w:val="1"/>
        </w:numPr>
        <w:rPr>
          <w:bCs/>
        </w:rPr>
      </w:pPr>
      <w:r>
        <w:t>Governmental Priorities.</w:t>
      </w:r>
    </w:p>
    <w:p w:rsidR="001D33A7" w:rsidRDefault="001D33A7" w:rsidP="001D33A7">
      <w:pPr>
        <w:pStyle w:val="ListParagraph"/>
      </w:pPr>
      <w:r>
        <w:t>should “or” after (i) be removed. Based on the maximum number of points possible, every item can be selected, if applicable.</w:t>
      </w:r>
    </w:p>
    <w:p w:rsidR="001D33A7" w:rsidRDefault="001D33A7" w:rsidP="001D33A7">
      <w:pPr>
        <w:pStyle w:val="ListParagraph"/>
      </w:pPr>
      <w:r>
        <w:t>Have the priorities been updated or are we using the same from last year.</w:t>
      </w:r>
    </w:p>
    <w:p w:rsidR="001D33A7" w:rsidRPr="001D33A7" w:rsidRDefault="001D33A7" w:rsidP="001D33A7">
      <w:pPr>
        <w:pStyle w:val="ListParagraph"/>
        <w:rPr>
          <w:color w:val="1F497D"/>
        </w:rPr>
      </w:pPr>
    </w:p>
    <w:p w:rsidR="001D33A7" w:rsidRPr="00F86CA9" w:rsidRDefault="00302013" w:rsidP="00F86CA9">
      <w:pPr>
        <w:ind w:left="360"/>
        <w:rPr>
          <w:rFonts w:ascii="Helvetica" w:eastAsia="Times New Roman" w:hAnsi="Helvetica" w:cs="Helvetica"/>
          <w:b/>
        </w:rPr>
      </w:pPr>
      <w:r w:rsidRPr="00F86CA9">
        <w:rPr>
          <w:rFonts w:ascii="Helvetica" w:eastAsia="Times New Roman" w:hAnsi="Helvetica" w:cs="Helvetica"/>
          <w:b/>
        </w:rPr>
        <w:t>Answer</w:t>
      </w:r>
      <w:r w:rsidR="001D33A7" w:rsidRPr="00F86CA9">
        <w:rPr>
          <w:rFonts w:ascii="Helvetica" w:eastAsia="Times New Roman" w:hAnsi="Helvetica" w:cs="Helvetica"/>
          <w:b/>
        </w:rPr>
        <w:t>: “or” after (i) should have been removed.</w:t>
      </w:r>
    </w:p>
    <w:p w:rsidR="001D33A7" w:rsidRPr="001D33A7" w:rsidRDefault="001D33A7" w:rsidP="001D33A7">
      <w:pPr>
        <w:pStyle w:val="ListParagraph"/>
        <w:numPr>
          <w:ilvl w:val="0"/>
          <w:numId w:val="1"/>
        </w:numPr>
        <w:rPr>
          <w:color w:val="1F497D"/>
        </w:rPr>
      </w:pPr>
      <w:r>
        <w:lastRenderedPageBreak/>
        <w:t>Can you guys define Development Wi-Fi. The threshold requirements indicates that the tenant will pay a 3rd party provider for internet services but the developer has to ensure that the infrastructure is in place.</w:t>
      </w:r>
    </w:p>
    <w:p w:rsidR="00302013" w:rsidRDefault="00302013" w:rsidP="001D33A7">
      <w:pPr>
        <w:pStyle w:val="ListParagraph"/>
        <w:rPr>
          <w:rFonts w:ascii="Helvetica" w:eastAsia="Times New Roman" w:hAnsi="Helvetica" w:cs="Helvetica"/>
          <w:b/>
        </w:rPr>
      </w:pPr>
    </w:p>
    <w:p w:rsidR="001D33A7" w:rsidRPr="00302013" w:rsidRDefault="00302013" w:rsidP="001D33A7">
      <w:pPr>
        <w:pStyle w:val="ListParagraph"/>
        <w:rPr>
          <w:rFonts w:ascii="Helvetica" w:eastAsia="Times New Roman" w:hAnsi="Helvetica" w:cs="Helvetica"/>
          <w:b/>
        </w:rPr>
      </w:pPr>
      <w:r>
        <w:rPr>
          <w:rFonts w:ascii="Helvetica" w:eastAsia="Times New Roman" w:hAnsi="Helvetica" w:cs="Helvetica"/>
          <w:b/>
        </w:rPr>
        <w:t>Answer</w:t>
      </w:r>
      <w:r w:rsidR="001D33A7" w:rsidRPr="00302013">
        <w:rPr>
          <w:rFonts w:ascii="Helvetica" w:eastAsia="Times New Roman" w:hAnsi="Helvetica" w:cs="Helvetica"/>
          <w:b/>
        </w:rPr>
        <w:t xml:space="preserve">: DEVELOPMENT WI-FI: </w:t>
      </w:r>
      <w:r w:rsidR="006577DF">
        <w:rPr>
          <w:rFonts w:ascii="Helvetica" w:eastAsia="Times New Roman" w:hAnsi="Helvetica" w:cs="Helvetica"/>
          <w:b/>
        </w:rPr>
        <w:t xml:space="preserve">is an option listed under the category of Project Amenities in the Selection Criteria that must be paid by the owner.  </w:t>
      </w:r>
      <w:r w:rsidR="001D33A7" w:rsidRPr="00302013">
        <w:rPr>
          <w:rFonts w:ascii="Helvetica" w:eastAsia="Times New Roman" w:hAnsi="Helvetica" w:cs="Helvetica"/>
          <w:b/>
        </w:rPr>
        <w:t>Tenant access to the internet via a development deployed Wi-Fi network. Coverage must be available throughout the units as well as all areas of the development outdoors.</w:t>
      </w:r>
      <w:r w:rsidR="0043395E">
        <w:rPr>
          <w:rFonts w:ascii="Helvetica" w:eastAsia="Times New Roman" w:hAnsi="Helvetica" w:cs="Helvetica"/>
          <w:b/>
        </w:rPr>
        <w:t xml:space="preserve"> </w:t>
      </w:r>
      <w:r w:rsidR="00752EF8">
        <w:rPr>
          <w:rFonts w:ascii="Helvetica" w:eastAsia="Times New Roman" w:hAnsi="Helvetica" w:cs="Helvetica"/>
          <w:b/>
        </w:rPr>
        <w:t xml:space="preserve">The threshold requirement for </w:t>
      </w:r>
      <w:r w:rsidR="0043395E">
        <w:rPr>
          <w:rFonts w:ascii="Helvetica" w:eastAsia="Times New Roman" w:hAnsi="Helvetica" w:cs="Helvetica"/>
          <w:b/>
        </w:rPr>
        <w:t>minimum internet</w:t>
      </w:r>
      <w:r w:rsidR="006577DF">
        <w:rPr>
          <w:rFonts w:ascii="Helvetica" w:eastAsia="Times New Roman" w:hAnsi="Helvetica" w:cs="Helvetica"/>
          <w:b/>
        </w:rPr>
        <w:t>/</w:t>
      </w:r>
      <w:r w:rsidR="0043395E">
        <w:rPr>
          <w:rFonts w:ascii="Helvetica" w:eastAsia="Times New Roman" w:hAnsi="Helvetica" w:cs="Helvetica"/>
          <w:b/>
        </w:rPr>
        <w:t xml:space="preserve"> cable capacity </w:t>
      </w:r>
      <w:r w:rsidR="006577DF">
        <w:rPr>
          <w:rFonts w:ascii="Helvetica" w:eastAsia="Times New Roman" w:hAnsi="Helvetica" w:cs="Helvetica"/>
          <w:b/>
        </w:rPr>
        <w:t>requires</w:t>
      </w:r>
      <w:r w:rsidR="0043395E">
        <w:rPr>
          <w:rFonts w:ascii="Helvetica" w:eastAsia="Times New Roman" w:hAnsi="Helvetica" w:cs="Helvetica"/>
          <w:b/>
        </w:rPr>
        <w:t xml:space="preserve"> </w:t>
      </w:r>
      <w:r w:rsidR="006577DF">
        <w:rPr>
          <w:rFonts w:ascii="Helvetica" w:eastAsia="Times New Roman" w:hAnsi="Helvetica" w:cs="Helvetica"/>
          <w:b/>
        </w:rPr>
        <w:t xml:space="preserve">the infrastructure to be in place </w:t>
      </w:r>
      <w:r w:rsidR="008F4EF4">
        <w:rPr>
          <w:rFonts w:ascii="Helvetica" w:eastAsia="Times New Roman" w:hAnsi="Helvetica" w:cs="Helvetica"/>
          <w:b/>
        </w:rPr>
        <w:t xml:space="preserve">in all of the units </w:t>
      </w:r>
      <w:r w:rsidR="006577DF">
        <w:rPr>
          <w:rFonts w:ascii="Helvetica" w:eastAsia="Times New Roman" w:hAnsi="Helvetica" w:cs="Helvetica"/>
          <w:b/>
        </w:rPr>
        <w:t>for tenants that elect</w:t>
      </w:r>
      <w:r w:rsidR="0043395E">
        <w:rPr>
          <w:rFonts w:ascii="Helvetica" w:eastAsia="Times New Roman" w:hAnsi="Helvetica" w:cs="Helvetica"/>
          <w:b/>
        </w:rPr>
        <w:t xml:space="preserve"> to access and activate </w:t>
      </w:r>
      <w:r w:rsidR="008F4EF4">
        <w:rPr>
          <w:rFonts w:ascii="Helvetica" w:eastAsia="Times New Roman" w:hAnsi="Helvetica" w:cs="Helvetica"/>
          <w:b/>
        </w:rPr>
        <w:t xml:space="preserve">their own telephone, </w:t>
      </w:r>
      <w:r w:rsidR="0043395E">
        <w:rPr>
          <w:rFonts w:ascii="Helvetica" w:eastAsia="Times New Roman" w:hAnsi="Helvetica" w:cs="Helvetica"/>
          <w:b/>
        </w:rPr>
        <w:t xml:space="preserve">cable and internet services.  </w:t>
      </w:r>
    </w:p>
    <w:p w:rsidR="0060205C" w:rsidRPr="001D33A7" w:rsidRDefault="0060205C" w:rsidP="001D33A7">
      <w:pPr>
        <w:pStyle w:val="ListParagraph"/>
        <w:rPr>
          <w:color w:val="1F497D"/>
        </w:rPr>
      </w:pPr>
    </w:p>
    <w:p w:rsidR="001D33A7" w:rsidRPr="001D33A7" w:rsidRDefault="001D33A7" w:rsidP="001D33A7">
      <w:pPr>
        <w:pStyle w:val="ListParagraph"/>
        <w:numPr>
          <w:ilvl w:val="0"/>
          <w:numId w:val="1"/>
        </w:numPr>
        <w:rPr>
          <w:color w:val="1F497D"/>
        </w:rPr>
      </w:pPr>
      <w:r>
        <w:t>With development wi-fi, was it the expectation for the owner to cover costs for the tenant’s WiFi?</w:t>
      </w:r>
    </w:p>
    <w:p w:rsidR="00302013" w:rsidRDefault="00302013" w:rsidP="00302013">
      <w:pPr>
        <w:pStyle w:val="ListParagraph"/>
        <w:rPr>
          <w:rFonts w:ascii="Helvetica" w:eastAsia="Times New Roman" w:hAnsi="Helvetica" w:cs="Helvetica"/>
          <w:b/>
        </w:rPr>
      </w:pPr>
    </w:p>
    <w:p w:rsidR="001D33A7" w:rsidRPr="00F86CA9" w:rsidRDefault="00302013" w:rsidP="00F86CA9">
      <w:pPr>
        <w:ind w:left="360"/>
        <w:rPr>
          <w:rFonts w:ascii="Helvetica" w:eastAsia="Times New Roman" w:hAnsi="Helvetica" w:cs="Helvetica"/>
          <w:b/>
        </w:rPr>
      </w:pPr>
      <w:r w:rsidRPr="00F86CA9">
        <w:rPr>
          <w:rFonts w:ascii="Helvetica" w:eastAsia="Times New Roman" w:hAnsi="Helvetica" w:cs="Helvetica"/>
          <w:b/>
        </w:rPr>
        <w:t>Answer</w:t>
      </w:r>
      <w:r w:rsidR="001D33A7" w:rsidRPr="00F86CA9">
        <w:rPr>
          <w:rFonts w:ascii="Helvetica" w:eastAsia="Times New Roman" w:hAnsi="Helvetica" w:cs="Helvetica"/>
          <w:b/>
        </w:rPr>
        <w:t>: Development Wi-Fi is an option listed under the category of Project Amenities, the costs should be paid by the owner.</w:t>
      </w:r>
    </w:p>
    <w:p w:rsidR="001D33A7" w:rsidRPr="00302013" w:rsidRDefault="001D33A7" w:rsidP="00302013">
      <w:pPr>
        <w:pStyle w:val="ListParagraph"/>
        <w:rPr>
          <w:rFonts w:ascii="Helvetica" w:eastAsia="Times New Roman" w:hAnsi="Helvetica" w:cs="Helvetica"/>
          <w:b/>
        </w:rPr>
      </w:pPr>
    </w:p>
    <w:p w:rsidR="00302013" w:rsidRDefault="001D33A7" w:rsidP="001D33A7">
      <w:pPr>
        <w:pStyle w:val="ListParagraph"/>
        <w:numPr>
          <w:ilvl w:val="0"/>
          <w:numId w:val="1"/>
        </w:numPr>
        <w:spacing w:after="120"/>
        <w:rPr>
          <w:color w:val="1F497D"/>
        </w:rPr>
      </w:pPr>
      <w:r>
        <w:t>Or, in addition to ensuring infrastructure is in place, must the owner only provide WiFi outside the unit in common areas.</w:t>
      </w:r>
      <w:r w:rsidRPr="001D33A7">
        <w:rPr>
          <w:color w:val="1F497D"/>
        </w:rPr>
        <w:t xml:space="preserve">  </w:t>
      </w:r>
    </w:p>
    <w:p w:rsidR="00302013" w:rsidRDefault="00302013" w:rsidP="00302013">
      <w:pPr>
        <w:pStyle w:val="ListParagraph"/>
        <w:spacing w:after="120"/>
        <w:rPr>
          <w:color w:val="1F497D"/>
        </w:rPr>
      </w:pPr>
    </w:p>
    <w:p w:rsidR="001D33A7" w:rsidRPr="00F86CA9" w:rsidRDefault="00302013" w:rsidP="00F86CA9">
      <w:pPr>
        <w:spacing w:after="120"/>
        <w:ind w:left="270"/>
        <w:rPr>
          <w:color w:val="1F497D"/>
        </w:rPr>
      </w:pPr>
      <w:r w:rsidRPr="00F86CA9">
        <w:rPr>
          <w:rFonts w:ascii="Helvetica" w:eastAsia="Times New Roman" w:hAnsi="Helvetica" w:cs="Helvetica"/>
          <w:b/>
        </w:rPr>
        <w:t>Answer</w:t>
      </w:r>
      <w:r w:rsidR="001D33A7" w:rsidRPr="00F86CA9">
        <w:rPr>
          <w:rFonts w:ascii="Helvetica" w:eastAsia="Times New Roman" w:hAnsi="Helvetica" w:cs="Helvetica"/>
          <w:b/>
        </w:rPr>
        <w:t>: DEVELOPMENT WI-FI: Tenant access to the internet via a development deployed Wi-Fi network. Coverage must be available throughout the units as well as all areas of the development outdoors</w:t>
      </w:r>
      <w:r w:rsidR="001D33A7" w:rsidRPr="00F86CA9">
        <w:rPr>
          <w:color w:val="1F497D"/>
        </w:rPr>
        <w:t>.</w:t>
      </w:r>
    </w:p>
    <w:p w:rsidR="001D33A7" w:rsidRDefault="001D33A7" w:rsidP="001D33A7"/>
    <w:p w:rsidR="001D33A7" w:rsidRDefault="001D33A7" w:rsidP="001D33A7">
      <w:pPr>
        <w:pStyle w:val="ListParagraph"/>
        <w:numPr>
          <w:ilvl w:val="0"/>
          <w:numId w:val="1"/>
        </w:numPr>
      </w:pPr>
      <w:r>
        <w:t>Or, provide must the owner access to WiFi throughout the Development and charge tenants for use? As you can imagine, incorporating free WiFi could be cost prohibitive. Just want to know what you guys are thinking regarding this issue.</w:t>
      </w:r>
      <w:r w:rsidRPr="001D33A7">
        <w:rPr>
          <w:color w:val="1F497D"/>
        </w:rPr>
        <w:t xml:space="preserve">  </w:t>
      </w:r>
    </w:p>
    <w:p w:rsidR="00302013" w:rsidRDefault="00302013" w:rsidP="00302013">
      <w:pPr>
        <w:pStyle w:val="ListParagraph"/>
        <w:spacing w:after="120"/>
        <w:rPr>
          <w:rFonts w:ascii="Helvetica" w:eastAsia="Times New Roman" w:hAnsi="Helvetica" w:cs="Helvetica"/>
          <w:b/>
        </w:rPr>
      </w:pPr>
    </w:p>
    <w:p w:rsidR="001D33A7" w:rsidRPr="00F86CA9" w:rsidRDefault="00302013" w:rsidP="00F86CA9">
      <w:pPr>
        <w:spacing w:after="120"/>
        <w:ind w:left="360"/>
        <w:rPr>
          <w:color w:val="1F497D"/>
        </w:rPr>
      </w:pPr>
      <w:r w:rsidRPr="00F86CA9">
        <w:rPr>
          <w:rFonts w:ascii="Helvetica" w:eastAsia="Times New Roman" w:hAnsi="Helvetica" w:cs="Helvetica"/>
          <w:b/>
        </w:rPr>
        <w:t>Answer</w:t>
      </w:r>
      <w:r w:rsidR="001D33A7" w:rsidRPr="00F86CA9">
        <w:rPr>
          <w:rFonts w:ascii="Helvetica" w:eastAsia="Times New Roman" w:hAnsi="Helvetica" w:cs="Helvetica"/>
          <w:b/>
        </w:rPr>
        <w:t>: Development Wi-Fi is an option listed under the category of Project Amenities, the costs should be paid by the owner</w:t>
      </w:r>
      <w:r w:rsidR="001D33A7" w:rsidRPr="00F86CA9">
        <w:rPr>
          <w:color w:val="1F497D"/>
        </w:rPr>
        <w:t>.</w:t>
      </w:r>
    </w:p>
    <w:p w:rsidR="0060205C" w:rsidRDefault="0060205C" w:rsidP="001D33A7">
      <w:pPr>
        <w:spacing w:after="0"/>
        <w:ind w:firstLine="720"/>
        <w:rPr>
          <w:color w:val="1F497D"/>
        </w:rPr>
      </w:pPr>
    </w:p>
    <w:p w:rsidR="0060205C" w:rsidRDefault="0060205C" w:rsidP="0060205C">
      <w:pPr>
        <w:pStyle w:val="ListParagraph"/>
        <w:numPr>
          <w:ilvl w:val="0"/>
          <w:numId w:val="1"/>
        </w:numPr>
        <w:spacing w:after="0"/>
      </w:pPr>
      <w:r>
        <w:t>Are housing developments that consist of single family homes able to select points for Development Wi-Fi?</w:t>
      </w:r>
    </w:p>
    <w:p w:rsidR="00302013" w:rsidRDefault="00302013" w:rsidP="00302013">
      <w:pPr>
        <w:pStyle w:val="ListParagraph"/>
        <w:spacing w:after="120"/>
        <w:rPr>
          <w:rFonts w:ascii="Helvetica" w:eastAsia="Times New Roman" w:hAnsi="Helvetica" w:cs="Helvetica"/>
          <w:b/>
        </w:rPr>
      </w:pPr>
    </w:p>
    <w:p w:rsidR="00893AE6" w:rsidRDefault="00302013" w:rsidP="00F86CA9">
      <w:pPr>
        <w:spacing w:after="120"/>
        <w:ind w:left="360"/>
        <w:rPr>
          <w:rFonts w:ascii="Helvetica" w:eastAsia="Times New Roman" w:hAnsi="Helvetica" w:cs="Helvetica"/>
          <w:b/>
        </w:rPr>
      </w:pPr>
      <w:r w:rsidRPr="00F86CA9">
        <w:rPr>
          <w:rFonts w:ascii="Helvetica" w:eastAsia="Times New Roman" w:hAnsi="Helvetica" w:cs="Helvetica"/>
          <w:b/>
        </w:rPr>
        <w:t>Answer</w:t>
      </w:r>
      <w:r w:rsidR="0060205C" w:rsidRPr="00F86CA9">
        <w:rPr>
          <w:rFonts w:ascii="Helvetica" w:eastAsia="Times New Roman" w:hAnsi="Helvetica" w:cs="Helvetica"/>
          <w:b/>
        </w:rPr>
        <w:t xml:space="preserve">: Yes, but </w:t>
      </w:r>
      <w:r w:rsidR="00D4237D">
        <w:rPr>
          <w:rFonts w:ascii="Helvetica" w:eastAsia="Times New Roman" w:hAnsi="Helvetica" w:cs="Helvetica"/>
          <w:b/>
        </w:rPr>
        <w:t xml:space="preserve">free </w:t>
      </w:r>
      <w:r w:rsidR="0060205C" w:rsidRPr="00F86CA9">
        <w:rPr>
          <w:rFonts w:ascii="Helvetica" w:eastAsia="Times New Roman" w:hAnsi="Helvetica" w:cs="Helvetica"/>
          <w:b/>
        </w:rPr>
        <w:t xml:space="preserve">Wi-Fi access </w:t>
      </w:r>
      <w:r w:rsidRPr="00F86CA9">
        <w:rPr>
          <w:rFonts w:ascii="Helvetica" w:eastAsia="Times New Roman" w:hAnsi="Helvetica" w:cs="Helvetica"/>
          <w:b/>
        </w:rPr>
        <w:t>must</w:t>
      </w:r>
      <w:r w:rsidR="0060205C" w:rsidRPr="00F86CA9">
        <w:rPr>
          <w:rFonts w:ascii="Helvetica" w:eastAsia="Times New Roman" w:hAnsi="Helvetica" w:cs="Helvetica"/>
          <w:b/>
        </w:rPr>
        <w:t xml:space="preserve"> be provided </w:t>
      </w:r>
      <w:r w:rsidR="00D4237D">
        <w:rPr>
          <w:rFonts w:ascii="Helvetica" w:eastAsia="Times New Roman" w:hAnsi="Helvetica" w:cs="Helvetica"/>
          <w:b/>
        </w:rPr>
        <w:t xml:space="preserve">to tenants </w:t>
      </w:r>
      <w:r w:rsidR="0060205C" w:rsidRPr="00F86CA9">
        <w:rPr>
          <w:rFonts w:ascii="Helvetica" w:eastAsia="Times New Roman" w:hAnsi="Helvetica" w:cs="Helvetica"/>
          <w:b/>
        </w:rPr>
        <w:t>in each home.</w:t>
      </w:r>
    </w:p>
    <w:p w:rsidR="001A1E32" w:rsidRDefault="001A1E32" w:rsidP="00F86CA9">
      <w:pPr>
        <w:spacing w:after="120"/>
        <w:ind w:left="360"/>
      </w:pPr>
      <w:bookmarkStart w:id="0" w:name="_GoBack"/>
      <w:bookmarkEnd w:id="0"/>
    </w:p>
    <w:p w:rsidR="00893AE6" w:rsidRDefault="00893AE6"/>
    <w:p w:rsidR="00F07177" w:rsidRDefault="00F07177" w:rsidP="0035317D">
      <w:pPr>
        <w:pStyle w:val="ListParagraph"/>
        <w:numPr>
          <w:ilvl w:val="0"/>
          <w:numId w:val="1"/>
        </w:numPr>
        <w:spacing w:after="240"/>
      </w:pPr>
      <w:r>
        <w:lastRenderedPageBreak/>
        <w:t>St. Mary’s parish is not listed as a disaster parish in the QAP, but was declared a FEMA</w:t>
      </w:r>
      <w:r>
        <w:br/>
        <w:t>Designated Disaster Area after Hurricane Delta and Zeta.  Would it be the case that this parish is being considered as part of or listed as another parish, or are we missing something?</w:t>
      </w:r>
    </w:p>
    <w:p w:rsidR="00F07177" w:rsidRDefault="00F07177" w:rsidP="00F07177">
      <w:pPr>
        <w:spacing w:after="120"/>
        <w:ind w:left="360"/>
        <w:rPr>
          <w:rFonts w:ascii="Helvetica" w:eastAsia="Times New Roman" w:hAnsi="Helvetica" w:cs="Helvetica"/>
          <w:b/>
        </w:rPr>
      </w:pPr>
      <w:r w:rsidRPr="00F07177">
        <w:rPr>
          <w:rFonts w:ascii="Helvetica" w:eastAsia="Times New Roman" w:hAnsi="Helvetica" w:cs="Helvetica"/>
          <w:b/>
        </w:rPr>
        <w:t>Answer:  St. Mary Parish was not included in the list of disaster parishes in the QAP because it was not listed as an eligible parish for disaster credits as per the U.S. Treasury IRS Notice 2021-45. </w:t>
      </w:r>
    </w:p>
    <w:p w:rsidR="00551EBE" w:rsidRDefault="00551EBE" w:rsidP="00F07177">
      <w:pPr>
        <w:spacing w:after="120"/>
        <w:ind w:left="360"/>
        <w:rPr>
          <w:rFonts w:ascii="Helvetica" w:eastAsia="Times New Roman" w:hAnsi="Helvetica" w:cs="Helvetica"/>
          <w:b/>
        </w:rPr>
      </w:pPr>
    </w:p>
    <w:p w:rsidR="00551EBE" w:rsidRPr="00551EBE" w:rsidRDefault="00551EBE" w:rsidP="00551EBE">
      <w:pPr>
        <w:spacing w:after="120"/>
        <w:ind w:left="360"/>
        <w:jc w:val="center"/>
        <w:rPr>
          <w:rFonts w:ascii="Helvetica" w:eastAsia="Times New Roman" w:hAnsi="Helvetica" w:cs="Helvetica"/>
          <w:b/>
          <w:color w:val="FF0000"/>
        </w:rPr>
      </w:pPr>
      <w:r w:rsidRPr="00551EBE">
        <w:rPr>
          <w:rFonts w:ascii="Helvetica" w:eastAsia="Times New Roman" w:hAnsi="Helvetica" w:cs="Helvetica"/>
          <w:b/>
          <w:color w:val="FF0000"/>
        </w:rPr>
        <w:t>Questions submitted during the QAP Application Workshop</w:t>
      </w:r>
    </w:p>
    <w:p w:rsidR="002444C1" w:rsidRDefault="002444C1" w:rsidP="00F07177">
      <w:pPr>
        <w:spacing w:after="120"/>
        <w:ind w:left="360"/>
        <w:rPr>
          <w:rFonts w:ascii="Helvetica" w:eastAsia="Times New Roman" w:hAnsi="Helvetica" w:cs="Helvetica"/>
          <w:b/>
        </w:rPr>
      </w:pPr>
    </w:p>
    <w:p w:rsidR="002444C1" w:rsidRDefault="002444C1" w:rsidP="002444C1">
      <w:pPr>
        <w:pStyle w:val="ListParagraph"/>
        <w:numPr>
          <w:ilvl w:val="0"/>
          <w:numId w:val="1"/>
        </w:numPr>
        <w:spacing w:after="120"/>
        <w:rPr>
          <w:rFonts w:ascii="Helvetica" w:eastAsia="Times New Roman" w:hAnsi="Helvetica" w:cs="Helvetica"/>
        </w:rPr>
      </w:pPr>
      <w:r w:rsidRPr="002444C1">
        <w:rPr>
          <w:rFonts w:ascii="Helvetica" w:eastAsia="Times New Roman" w:hAnsi="Helvetica" w:cs="Helvetica"/>
        </w:rPr>
        <w:t>Will you please provide a list of the 8 metro parishes? There are only 7 listed in the Final version of the QAP as of July 14th.</w:t>
      </w:r>
    </w:p>
    <w:p w:rsidR="002444C1" w:rsidRDefault="002444C1" w:rsidP="002444C1">
      <w:pPr>
        <w:spacing w:after="120"/>
        <w:ind w:left="360"/>
        <w:rPr>
          <w:rFonts w:ascii="Helvetica" w:eastAsia="Times New Roman" w:hAnsi="Helvetica" w:cs="Helvetica"/>
          <w:b/>
        </w:rPr>
      </w:pPr>
      <w:r>
        <w:rPr>
          <w:rFonts w:ascii="Helvetica" w:eastAsia="Times New Roman" w:hAnsi="Helvetica" w:cs="Helvetica"/>
          <w:b/>
        </w:rPr>
        <w:t xml:space="preserve">Answer:  There are 8 metro </w:t>
      </w:r>
      <w:r w:rsidR="006F6905">
        <w:rPr>
          <w:rFonts w:ascii="Helvetica" w:eastAsia="Times New Roman" w:hAnsi="Helvetica" w:cs="Helvetica"/>
          <w:b/>
        </w:rPr>
        <w:t>parishes</w:t>
      </w:r>
      <w:r>
        <w:rPr>
          <w:rFonts w:ascii="Helvetica" w:eastAsia="Times New Roman" w:hAnsi="Helvetica" w:cs="Helvetica"/>
          <w:b/>
        </w:rPr>
        <w:t xml:space="preserve"> but only 7 are listed </w:t>
      </w:r>
      <w:r w:rsidR="006F6905">
        <w:rPr>
          <w:rFonts w:ascii="Helvetica" w:eastAsia="Times New Roman" w:hAnsi="Helvetica" w:cs="Helvetica"/>
          <w:b/>
        </w:rPr>
        <w:t xml:space="preserve">under item number 4 </w:t>
      </w:r>
      <w:r>
        <w:rPr>
          <w:rFonts w:ascii="Helvetica" w:eastAsia="Times New Roman" w:hAnsi="Helvetica" w:cs="Helvetica"/>
          <w:b/>
        </w:rPr>
        <w:t>in the final version of the QAP as of July 14</w:t>
      </w:r>
      <w:r w:rsidRPr="002444C1">
        <w:rPr>
          <w:rFonts w:ascii="Helvetica" w:eastAsia="Times New Roman" w:hAnsi="Helvetica" w:cs="Helvetica"/>
          <w:b/>
          <w:vertAlign w:val="superscript"/>
        </w:rPr>
        <w:t>th</w:t>
      </w:r>
      <w:r>
        <w:rPr>
          <w:rFonts w:ascii="Helvetica" w:eastAsia="Times New Roman" w:hAnsi="Helvetica" w:cs="Helvetica"/>
          <w:b/>
        </w:rPr>
        <w:t xml:space="preserve">.  </w:t>
      </w:r>
      <w:r w:rsidR="00625312">
        <w:rPr>
          <w:rFonts w:ascii="Helvetica" w:eastAsia="Times New Roman" w:hAnsi="Helvetica" w:cs="Helvetica"/>
          <w:b/>
        </w:rPr>
        <w:t>Calcasieu</w:t>
      </w:r>
      <w:r w:rsidR="006F6905">
        <w:rPr>
          <w:rFonts w:ascii="Helvetica" w:eastAsia="Times New Roman" w:hAnsi="Helvetica" w:cs="Helvetica"/>
          <w:b/>
        </w:rPr>
        <w:t xml:space="preserve"> is not included in the breakout list </w:t>
      </w:r>
      <w:r w:rsidR="007A58BE" w:rsidRPr="00625312">
        <w:rPr>
          <w:rFonts w:ascii="Helvetica" w:eastAsia="Times New Roman" w:hAnsi="Helvetica" w:cs="Helvetica"/>
          <w:b/>
        </w:rPr>
        <w:t>because</w:t>
      </w:r>
      <w:r w:rsidR="00625312" w:rsidRPr="00625312">
        <w:rPr>
          <w:rFonts w:ascii="Helvetica" w:eastAsia="Times New Roman" w:hAnsi="Helvetica" w:cs="Helvetica"/>
          <w:b/>
        </w:rPr>
        <w:t xml:space="preserve"> </w:t>
      </w:r>
      <w:r w:rsidR="006F6905" w:rsidRPr="00625312">
        <w:rPr>
          <w:rFonts w:ascii="Helvetica" w:eastAsia="Times New Roman" w:hAnsi="Helvetica" w:cs="Helvetica"/>
          <w:b/>
        </w:rPr>
        <w:t xml:space="preserve">a separate </w:t>
      </w:r>
      <w:r w:rsidR="00625312" w:rsidRPr="00625312">
        <w:rPr>
          <w:rFonts w:ascii="Helvetica" w:eastAsia="Times New Roman" w:hAnsi="Helvetica" w:cs="Helvetica"/>
          <w:b/>
        </w:rPr>
        <w:t>pool allocation was established for Lake Charles</w:t>
      </w:r>
      <w:r w:rsidRPr="00625312">
        <w:rPr>
          <w:rFonts w:ascii="Helvetica" w:eastAsia="Times New Roman" w:hAnsi="Helvetica" w:cs="Helvetica"/>
          <w:b/>
        </w:rPr>
        <w:t>.</w:t>
      </w:r>
      <w:r>
        <w:rPr>
          <w:rFonts w:ascii="Helvetica" w:eastAsia="Times New Roman" w:hAnsi="Helvetica" w:cs="Helvetica"/>
          <w:b/>
        </w:rPr>
        <w:t xml:space="preserve">  The </w:t>
      </w:r>
      <w:r w:rsidR="006F6905">
        <w:rPr>
          <w:rFonts w:ascii="Helvetica" w:eastAsia="Times New Roman" w:hAnsi="Helvetica" w:cs="Helvetica"/>
          <w:b/>
        </w:rPr>
        <w:t xml:space="preserve">other </w:t>
      </w:r>
      <w:r>
        <w:rPr>
          <w:rFonts w:ascii="Helvetica" w:eastAsia="Times New Roman" w:hAnsi="Helvetica" w:cs="Helvetica"/>
          <w:b/>
        </w:rPr>
        <w:t xml:space="preserve">seven metro </w:t>
      </w:r>
      <w:r w:rsidR="006F6905">
        <w:rPr>
          <w:rFonts w:ascii="Helvetica" w:eastAsia="Times New Roman" w:hAnsi="Helvetica" w:cs="Helvetica"/>
          <w:b/>
        </w:rPr>
        <w:t>parishes</w:t>
      </w:r>
      <w:r>
        <w:rPr>
          <w:rFonts w:ascii="Helvetica" w:eastAsia="Times New Roman" w:hAnsi="Helvetica" w:cs="Helvetica"/>
          <w:b/>
        </w:rPr>
        <w:t xml:space="preserve"> are </w:t>
      </w:r>
      <w:r w:rsidR="006F6905">
        <w:rPr>
          <w:rFonts w:ascii="Helvetica" w:eastAsia="Times New Roman" w:hAnsi="Helvetica" w:cs="Helvetica"/>
          <w:b/>
        </w:rPr>
        <w:t>Caddo, East Baton Rouge, Jefferson, Lafayette, Orleans and St. Tammany.</w:t>
      </w:r>
    </w:p>
    <w:p w:rsidR="002444C1" w:rsidRDefault="002444C1" w:rsidP="002444C1">
      <w:pPr>
        <w:spacing w:after="120"/>
        <w:ind w:left="360"/>
        <w:rPr>
          <w:rFonts w:ascii="Helvetica" w:eastAsia="Times New Roman" w:hAnsi="Helvetica" w:cs="Helvetica"/>
          <w:b/>
        </w:rPr>
      </w:pPr>
    </w:p>
    <w:p w:rsidR="008F4EF4" w:rsidRDefault="002444C1" w:rsidP="00955A57">
      <w:pPr>
        <w:pStyle w:val="ListParagraph"/>
        <w:numPr>
          <w:ilvl w:val="0"/>
          <w:numId w:val="1"/>
        </w:numPr>
        <w:spacing w:after="120"/>
        <w:rPr>
          <w:rFonts w:eastAsia="Times New Roman" w:cstheme="minorHAnsi"/>
        </w:rPr>
      </w:pPr>
      <w:r w:rsidRPr="002444C1">
        <w:rPr>
          <w:rFonts w:eastAsia="Times New Roman" w:cstheme="minorHAnsi"/>
        </w:rPr>
        <w:t>Can you explain the order which LHC will award funding based on the individual pools, and if the pools are collapsed.</w:t>
      </w:r>
    </w:p>
    <w:p w:rsidR="00752EF8" w:rsidRPr="00E917E8" w:rsidRDefault="00752EF8" w:rsidP="00E917E8">
      <w:pPr>
        <w:spacing w:after="120"/>
        <w:ind w:left="360"/>
        <w:rPr>
          <w:rFonts w:ascii="Helvetica" w:eastAsia="Times New Roman" w:hAnsi="Helvetica" w:cs="Helvetica"/>
          <w:b/>
        </w:rPr>
      </w:pPr>
      <w:r w:rsidRPr="00E917E8">
        <w:rPr>
          <w:rFonts w:ascii="Helvetica" w:eastAsia="Times New Roman" w:hAnsi="Helvetica" w:cs="Helvetica"/>
          <w:b/>
        </w:rPr>
        <w:t>Answer:  NOTE to Allocation process – Credits and Applications remaining in the sub</w:t>
      </w:r>
      <w:r w:rsidRPr="00E917E8">
        <w:rPr>
          <w:rFonts w:ascii="Cambria Math" w:eastAsia="Times New Roman" w:hAnsi="Cambria Math" w:cs="Cambria Math"/>
          <w:b/>
        </w:rPr>
        <w:t>‐</w:t>
      </w:r>
      <w:r w:rsidRPr="00E917E8">
        <w:rPr>
          <w:rFonts w:ascii="Helvetica" w:eastAsia="Times New Roman" w:hAnsi="Helvetica" w:cs="Helvetica"/>
          <w:b/>
        </w:rPr>
        <w:t>po</w:t>
      </w:r>
      <w:r w:rsidR="008F4EF4" w:rsidRPr="00E917E8">
        <w:rPr>
          <w:rFonts w:ascii="Helvetica" w:eastAsia="Times New Roman" w:hAnsi="Helvetica" w:cs="Helvetica"/>
          <w:b/>
        </w:rPr>
        <w:t xml:space="preserve">ols will be consolidated in its </w:t>
      </w:r>
      <w:r w:rsidRPr="00E917E8">
        <w:rPr>
          <w:rFonts w:ascii="Helvetica" w:eastAsia="Times New Roman" w:hAnsi="Helvetica" w:cs="Helvetica"/>
          <w:b/>
        </w:rPr>
        <w:t>designated upper tier pool and awarded to the highest ranking application(s) therein. Additionally, any residual</w:t>
      </w:r>
      <w:r w:rsidR="008F4EF4" w:rsidRPr="00E917E8">
        <w:rPr>
          <w:rFonts w:ascii="Helvetica" w:eastAsia="Times New Roman" w:hAnsi="Helvetica" w:cs="Helvetica"/>
          <w:b/>
        </w:rPr>
        <w:t xml:space="preserve"> </w:t>
      </w:r>
      <w:r w:rsidRPr="00E917E8">
        <w:rPr>
          <w:rFonts w:ascii="Helvetica" w:eastAsia="Times New Roman" w:hAnsi="Helvetica" w:cs="Helvetica"/>
          <w:b/>
        </w:rPr>
        <w:t>credits and applications from the New Construction and Acquisition/Rehab Pool</w:t>
      </w:r>
      <w:r w:rsidR="008F4EF4" w:rsidRPr="00E917E8">
        <w:rPr>
          <w:rFonts w:ascii="Helvetica" w:eastAsia="Times New Roman" w:hAnsi="Helvetica" w:cs="Helvetica"/>
          <w:b/>
        </w:rPr>
        <w:t xml:space="preserve">s will be placed in a statewide </w:t>
      </w:r>
      <w:r w:rsidRPr="00E917E8">
        <w:rPr>
          <w:rFonts w:ascii="Helvetica" w:eastAsia="Times New Roman" w:hAnsi="Helvetica" w:cs="Helvetica"/>
          <w:b/>
        </w:rPr>
        <w:t>collapse pool and awarded in rank order until there is an insufficient amount of c</w:t>
      </w:r>
      <w:r w:rsidR="008F4EF4" w:rsidRPr="00E917E8">
        <w:rPr>
          <w:rFonts w:ascii="Helvetica" w:eastAsia="Times New Roman" w:hAnsi="Helvetica" w:cs="Helvetica"/>
          <w:b/>
        </w:rPr>
        <w:t xml:space="preserve">redits to fund the next highest </w:t>
      </w:r>
      <w:r w:rsidRPr="00E917E8">
        <w:rPr>
          <w:rFonts w:ascii="Helvetica" w:eastAsia="Times New Roman" w:hAnsi="Helvetica" w:cs="Helvetica"/>
          <w:b/>
        </w:rPr>
        <w:t>ranking application.</w:t>
      </w:r>
    </w:p>
    <w:p w:rsidR="00625312" w:rsidRDefault="00625312" w:rsidP="00625312">
      <w:pPr>
        <w:pStyle w:val="ListParagraph"/>
        <w:spacing w:after="120"/>
        <w:rPr>
          <w:rFonts w:eastAsia="Times New Roman" w:cstheme="minorHAnsi"/>
        </w:rPr>
      </w:pPr>
    </w:p>
    <w:p w:rsidR="00625312" w:rsidRDefault="002444C1" w:rsidP="002444C1">
      <w:pPr>
        <w:pStyle w:val="ListParagraph"/>
        <w:numPr>
          <w:ilvl w:val="0"/>
          <w:numId w:val="1"/>
        </w:numPr>
        <w:spacing w:after="120"/>
        <w:rPr>
          <w:rFonts w:eastAsia="Times New Roman" w:cstheme="minorHAnsi"/>
        </w:rPr>
      </w:pPr>
      <w:r w:rsidRPr="002444C1">
        <w:rPr>
          <w:rFonts w:eastAsia="Times New Roman" w:cstheme="minorHAnsi"/>
        </w:rPr>
        <w:t>Is LHC Annual Compliance/Monitoring fee due at application submission?</w:t>
      </w:r>
      <w:r>
        <w:rPr>
          <w:rFonts w:eastAsia="Times New Roman" w:cstheme="minorHAnsi"/>
        </w:rPr>
        <w:t xml:space="preserve">  </w:t>
      </w:r>
    </w:p>
    <w:p w:rsidR="00625312" w:rsidRDefault="00625312" w:rsidP="00625312">
      <w:pPr>
        <w:spacing w:after="0"/>
        <w:rPr>
          <w:rFonts w:ascii="Helvetica" w:eastAsia="Times New Roman" w:hAnsi="Helvetica" w:cs="Helvetica"/>
          <w:b/>
        </w:rPr>
      </w:pPr>
      <w:r>
        <w:rPr>
          <w:rFonts w:ascii="Helvetica" w:eastAsia="Times New Roman" w:hAnsi="Helvetica" w:cs="Helvetica"/>
          <w:b/>
        </w:rPr>
        <w:t xml:space="preserve">     </w:t>
      </w:r>
      <w:r w:rsidRPr="00625312">
        <w:rPr>
          <w:rFonts w:ascii="Helvetica" w:eastAsia="Times New Roman" w:hAnsi="Helvetica" w:cs="Helvetica"/>
          <w:b/>
        </w:rPr>
        <w:t xml:space="preserve">Answer:  </w:t>
      </w:r>
      <w:r w:rsidR="00D4237D">
        <w:rPr>
          <w:rFonts w:ascii="Helvetica" w:eastAsia="Times New Roman" w:hAnsi="Helvetica" w:cs="Helvetica"/>
          <w:b/>
        </w:rPr>
        <w:t>No, o</w:t>
      </w:r>
      <w:r w:rsidR="002444C1" w:rsidRPr="00625312">
        <w:rPr>
          <w:rFonts w:ascii="Helvetica" w:eastAsia="Times New Roman" w:hAnsi="Helvetica" w:cs="Helvetica"/>
          <w:b/>
        </w:rPr>
        <w:t xml:space="preserve">nly the application and market study fees are due by the application </w:t>
      </w:r>
      <w:r>
        <w:rPr>
          <w:rFonts w:ascii="Helvetica" w:eastAsia="Times New Roman" w:hAnsi="Helvetica" w:cs="Helvetica"/>
          <w:b/>
        </w:rPr>
        <w:t xml:space="preserve">  </w:t>
      </w:r>
    </w:p>
    <w:p w:rsidR="002444C1" w:rsidRDefault="00625312" w:rsidP="00625312">
      <w:pPr>
        <w:spacing w:after="0"/>
        <w:rPr>
          <w:rFonts w:ascii="Helvetica" w:eastAsia="Times New Roman" w:hAnsi="Helvetica" w:cs="Helvetica"/>
          <w:b/>
        </w:rPr>
      </w:pPr>
      <w:r>
        <w:rPr>
          <w:rFonts w:ascii="Helvetica" w:eastAsia="Times New Roman" w:hAnsi="Helvetica" w:cs="Helvetica"/>
          <w:b/>
        </w:rPr>
        <w:t xml:space="preserve">     </w:t>
      </w:r>
      <w:r w:rsidR="002444C1" w:rsidRPr="00625312">
        <w:rPr>
          <w:rFonts w:ascii="Helvetica" w:eastAsia="Times New Roman" w:hAnsi="Helvetica" w:cs="Helvetica"/>
          <w:b/>
        </w:rPr>
        <w:t>deadline.</w:t>
      </w:r>
    </w:p>
    <w:p w:rsidR="00625312" w:rsidRPr="00625312" w:rsidRDefault="00625312" w:rsidP="00625312">
      <w:pPr>
        <w:spacing w:after="0"/>
        <w:rPr>
          <w:rFonts w:ascii="Helvetica" w:eastAsia="Times New Roman" w:hAnsi="Helvetica" w:cs="Helvetica"/>
          <w:b/>
        </w:rPr>
      </w:pPr>
    </w:p>
    <w:p w:rsidR="00625312" w:rsidRDefault="002444C1" w:rsidP="002444C1">
      <w:pPr>
        <w:pStyle w:val="ListParagraph"/>
        <w:numPr>
          <w:ilvl w:val="0"/>
          <w:numId w:val="1"/>
        </w:numPr>
        <w:spacing w:after="120"/>
        <w:rPr>
          <w:rFonts w:eastAsia="Times New Roman" w:cstheme="minorHAnsi"/>
        </w:rPr>
      </w:pPr>
      <w:r w:rsidRPr="002444C1">
        <w:rPr>
          <w:rFonts w:eastAsia="Times New Roman" w:cstheme="minorHAnsi"/>
        </w:rPr>
        <w:t>Who completes Demand Cert-LHC Market Analyst?</w:t>
      </w:r>
    </w:p>
    <w:p w:rsidR="002444C1" w:rsidRDefault="00625312" w:rsidP="00625312">
      <w:pPr>
        <w:spacing w:after="0"/>
        <w:ind w:left="360"/>
        <w:rPr>
          <w:rFonts w:ascii="Helvetica" w:eastAsia="Times New Roman" w:hAnsi="Helvetica" w:cs="Helvetica"/>
          <w:b/>
        </w:rPr>
      </w:pPr>
      <w:r w:rsidRPr="00625312">
        <w:rPr>
          <w:rFonts w:ascii="Helvetica" w:eastAsia="Times New Roman" w:hAnsi="Helvetica" w:cs="Helvetica"/>
          <w:b/>
        </w:rPr>
        <w:t xml:space="preserve">Answer:  </w:t>
      </w:r>
      <w:r w:rsidR="002444C1" w:rsidRPr="00625312">
        <w:rPr>
          <w:rFonts w:ascii="Helvetica" w:eastAsia="Times New Roman" w:hAnsi="Helvetica" w:cs="Helvetica"/>
          <w:b/>
        </w:rPr>
        <w:t>The Demand Certification is completed by the Market Analyst that is assigned to complete the report for the project.</w:t>
      </w:r>
    </w:p>
    <w:p w:rsidR="00625312" w:rsidRPr="00625312" w:rsidRDefault="00625312" w:rsidP="00625312">
      <w:pPr>
        <w:spacing w:after="0"/>
        <w:ind w:left="360"/>
        <w:rPr>
          <w:rFonts w:ascii="Helvetica" w:eastAsia="Times New Roman" w:hAnsi="Helvetica" w:cs="Helvetica"/>
          <w:b/>
        </w:rPr>
      </w:pPr>
    </w:p>
    <w:p w:rsidR="00625312" w:rsidRDefault="002444C1" w:rsidP="002444C1">
      <w:pPr>
        <w:pStyle w:val="ListParagraph"/>
        <w:numPr>
          <w:ilvl w:val="0"/>
          <w:numId w:val="1"/>
        </w:numPr>
        <w:spacing w:after="120"/>
        <w:rPr>
          <w:rFonts w:eastAsia="Times New Roman" w:cstheme="minorHAnsi"/>
        </w:rPr>
      </w:pPr>
      <w:r w:rsidRPr="002444C1">
        <w:rPr>
          <w:rFonts w:eastAsia="Times New Roman" w:cstheme="minorHAnsi"/>
        </w:rPr>
        <w:t>Regarding the newspaper postings, is there a list of acceptable local newspapers on your website?</w:t>
      </w:r>
    </w:p>
    <w:p w:rsidR="00551EBE" w:rsidRPr="00625312" w:rsidRDefault="00625312" w:rsidP="00551EBE">
      <w:pPr>
        <w:spacing w:after="0"/>
        <w:ind w:left="360"/>
        <w:rPr>
          <w:rFonts w:ascii="Helvetica" w:hAnsi="Helvetica" w:cs="Helvetica"/>
          <w:b/>
          <w:color w:val="5B9BD5" w:themeColor="accent1"/>
        </w:rPr>
      </w:pPr>
      <w:r w:rsidRPr="00625312">
        <w:rPr>
          <w:rFonts w:ascii="Helvetica" w:eastAsia="Times New Roman" w:hAnsi="Helvetica" w:cs="Helvetica"/>
          <w:b/>
        </w:rPr>
        <w:t xml:space="preserve">Answer:  </w:t>
      </w:r>
      <w:r w:rsidR="002444C1" w:rsidRPr="00625312">
        <w:rPr>
          <w:rFonts w:ascii="Helvetica" w:eastAsia="Times New Roman" w:hAnsi="Helvetica" w:cs="Helvetica"/>
          <w:b/>
        </w:rPr>
        <w:t xml:space="preserve">Yes, please click the link pasted below.  </w:t>
      </w:r>
      <w:hyperlink r:id="rId9" w:history="1">
        <w:r w:rsidR="002444C1" w:rsidRPr="00625312">
          <w:rPr>
            <w:rFonts w:ascii="Helvetica" w:hAnsi="Helvetica" w:cs="Helvetica"/>
            <w:b/>
            <w:color w:val="5B9BD5" w:themeColor="accent1"/>
          </w:rPr>
          <w:t>https://www.lhc.la.gov/low-income-housing-tax-credit-lihtc-program</w:t>
        </w:r>
      </w:hyperlink>
    </w:p>
    <w:p w:rsidR="00625312" w:rsidRDefault="00625312" w:rsidP="00625312">
      <w:pPr>
        <w:spacing w:after="0"/>
        <w:ind w:left="360"/>
        <w:rPr>
          <w:rFonts w:ascii="Helvetica" w:hAnsi="Helvetica" w:cs="Helvetica"/>
          <w:b/>
        </w:rPr>
      </w:pPr>
    </w:p>
    <w:p w:rsidR="002444C1" w:rsidRPr="00625312" w:rsidRDefault="002444C1" w:rsidP="002444C1">
      <w:pPr>
        <w:pStyle w:val="ListParagraph"/>
        <w:numPr>
          <w:ilvl w:val="0"/>
          <w:numId w:val="1"/>
        </w:numPr>
        <w:spacing w:after="120"/>
        <w:rPr>
          <w:rFonts w:eastAsia="Times New Roman" w:cstheme="minorHAnsi"/>
        </w:rPr>
      </w:pPr>
      <w:r w:rsidRPr="00625312">
        <w:rPr>
          <w:rFonts w:eastAsia="Times New Roman" w:cstheme="minorHAnsi"/>
        </w:rPr>
        <w:lastRenderedPageBreak/>
        <w:t>In the Tie-breaking Procedures, it references Selection Criteria IA(I) percentage of low income units as the first tie-breaker.  What if an applicant does not select points under that section and instead elects to have 100% low income units? Would that 100% percentage be included for first tie-breaker purposes?</w:t>
      </w:r>
    </w:p>
    <w:p w:rsidR="00625312" w:rsidRDefault="00625312" w:rsidP="00625312">
      <w:pPr>
        <w:spacing w:after="120"/>
        <w:ind w:left="360"/>
        <w:rPr>
          <w:rFonts w:ascii="Helvetica" w:eastAsia="Times New Roman" w:hAnsi="Helvetica" w:cs="Helvetica"/>
          <w:b/>
        </w:rPr>
      </w:pPr>
      <w:r w:rsidRPr="00625312">
        <w:rPr>
          <w:rFonts w:ascii="Helvetica" w:eastAsia="Times New Roman" w:hAnsi="Helvetica" w:cs="Helvetica"/>
          <w:b/>
        </w:rPr>
        <w:t xml:space="preserve">Answer:  </w:t>
      </w:r>
      <w:r w:rsidR="00D4237D">
        <w:rPr>
          <w:rFonts w:ascii="Helvetica" w:eastAsia="Times New Roman" w:hAnsi="Helvetica" w:cs="Helvetica"/>
          <w:b/>
        </w:rPr>
        <w:t xml:space="preserve">No. 100 percent low income units would not be included for first tie-breaker purposes. </w:t>
      </w:r>
      <w:r w:rsidRPr="00625312">
        <w:rPr>
          <w:rFonts w:ascii="Helvetica" w:eastAsia="Times New Roman" w:hAnsi="Helvetica" w:cs="Helvetica"/>
          <w:b/>
        </w:rPr>
        <w:t>See response to #6 above.</w:t>
      </w:r>
    </w:p>
    <w:p w:rsidR="00625312" w:rsidRPr="00625312" w:rsidRDefault="00625312" w:rsidP="00625312">
      <w:pPr>
        <w:spacing w:after="120"/>
        <w:ind w:left="360"/>
        <w:rPr>
          <w:rFonts w:ascii="Helvetica" w:eastAsia="Times New Roman" w:hAnsi="Helvetica" w:cs="Helvetica"/>
          <w:b/>
        </w:rPr>
      </w:pPr>
    </w:p>
    <w:p w:rsidR="002444C1" w:rsidRDefault="002444C1" w:rsidP="002444C1">
      <w:pPr>
        <w:pStyle w:val="ListParagraph"/>
        <w:numPr>
          <w:ilvl w:val="0"/>
          <w:numId w:val="1"/>
        </w:numPr>
        <w:spacing w:after="120"/>
        <w:rPr>
          <w:rFonts w:eastAsia="Times New Roman" w:cstheme="minorHAnsi"/>
        </w:rPr>
      </w:pPr>
      <w:r w:rsidRPr="002444C1">
        <w:rPr>
          <w:rFonts w:eastAsia="Times New Roman" w:cstheme="minorHAnsi"/>
        </w:rPr>
        <w:t xml:space="preserve">Where in the </w:t>
      </w:r>
      <w:r w:rsidR="003B08BF">
        <w:rPr>
          <w:rFonts w:eastAsia="Times New Roman" w:cstheme="minorHAnsi"/>
        </w:rPr>
        <w:t>QAP does it reference a max Def</w:t>
      </w:r>
      <w:r w:rsidRPr="002444C1">
        <w:rPr>
          <w:rFonts w:eastAsia="Times New Roman" w:cstheme="minorHAnsi"/>
        </w:rPr>
        <w:t>erred Developer Fee? We ran into issues in QAP model where it says our DDF cannot exceed 50%...We couldn't find that referenced in final QAP?</w:t>
      </w:r>
    </w:p>
    <w:p w:rsidR="00625312" w:rsidRPr="00625312" w:rsidRDefault="00625312" w:rsidP="00625312">
      <w:pPr>
        <w:spacing w:after="120" w:line="252" w:lineRule="auto"/>
        <w:ind w:left="360"/>
        <w:rPr>
          <w:rFonts w:ascii="Helvetica" w:eastAsia="Times New Roman" w:hAnsi="Helvetica" w:cs="Helvetica"/>
          <w:b/>
        </w:rPr>
      </w:pPr>
      <w:r w:rsidRPr="00625312">
        <w:rPr>
          <w:rFonts w:ascii="Helvetica" w:eastAsia="Times New Roman" w:hAnsi="Helvetica" w:cs="Helvetica"/>
          <w:b/>
        </w:rPr>
        <w:t xml:space="preserve">Answer:  There is no Minimum or Maximum Deferred Developer Fee requirement in the QAP. </w:t>
      </w:r>
      <w:r w:rsidR="008F4EF4">
        <w:rPr>
          <w:rFonts w:ascii="Helvetica" w:eastAsia="Times New Roman" w:hAnsi="Helvetica" w:cs="Helvetica"/>
          <w:b/>
        </w:rPr>
        <w:t xml:space="preserve">If an error message is displayed, please provide a written explanation in the comment box of the underwriting application.  </w:t>
      </w:r>
      <w:r w:rsidRPr="00625312">
        <w:rPr>
          <w:rFonts w:ascii="Helvetica" w:eastAsia="Times New Roman" w:hAnsi="Helvetica" w:cs="Helvetica"/>
          <w:b/>
        </w:rPr>
        <w:t xml:space="preserve"> . </w:t>
      </w:r>
    </w:p>
    <w:p w:rsidR="00625312" w:rsidRPr="00625312" w:rsidRDefault="00625312" w:rsidP="00625312">
      <w:pPr>
        <w:spacing w:after="120"/>
        <w:ind w:left="360"/>
        <w:rPr>
          <w:rFonts w:eastAsia="Times New Roman" w:cstheme="minorHAnsi"/>
        </w:rPr>
      </w:pPr>
    </w:p>
    <w:p w:rsidR="003B08BF" w:rsidRDefault="003B08BF" w:rsidP="003B08BF">
      <w:pPr>
        <w:pStyle w:val="ListParagraph"/>
        <w:numPr>
          <w:ilvl w:val="0"/>
          <w:numId w:val="1"/>
        </w:numPr>
        <w:spacing w:after="120"/>
        <w:rPr>
          <w:rFonts w:eastAsia="Times New Roman" w:cstheme="minorHAnsi"/>
        </w:rPr>
      </w:pPr>
      <w:r w:rsidRPr="003B08BF">
        <w:rPr>
          <w:rFonts w:eastAsia="Times New Roman" w:cstheme="minorHAnsi"/>
        </w:rPr>
        <w:t>LHC previously indicated that they were going to clean</w:t>
      </w:r>
      <w:r w:rsidR="00625312">
        <w:rPr>
          <w:rFonts w:eastAsia="Times New Roman" w:cstheme="minorHAnsi"/>
        </w:rPr>
        <w:t xml:space="preserve"> </w:t>
      </w:r>
      <w:r w:rsidRPr="003B08BF">
        <w:rPr>
          <w:rFonts w:eastAsia="Times New Roman" w:cstheme="minorHAnsi"/>
        </w:rPr>
        <w:t>up the online portal so that documents do not have to be uploaded in multiple locations (Threshold and in multiples Appendices). Is that complete?</w:t>
      </w:r>
    </w:p>
    <w:p w:rsidR="003C53D7" w:rsidRPr="003C53D7" w:rsidRDefault="003C53D7" w:rsidP="003C53D7">
      <w:pPr>
        <w:spacing w:after="120" w:line="252" w:lineRule="auto"/>
        <w:ind w:left="360"/>
        <w:rPr>
          <w:rFonts w:ascii="Helvetica" w:eastAsia="Times New Roman" w:hAnsi="Helvetica" w:cs="Helvetica"/>
          <w:b/>
        </w:rPr>
      </w:pPr>
      <w:r w:rsidRPr="003C53D7">
        <w:rPr>
          <w:rFonts w:ascii="Helvetica" w:eastAsia="Times New Roman" w:hAnsi="Helvetica" w:cs="Helvetica"/>
          <w:b/>
        </w:rPr>
        <w:t xml:space="preserve">Answer:  </w:t>
      </w:r>
      <w:r w:rsidR="004263AD">
        <w:rPr>
          <w:rFonts w:ascii="Helvetica" w:eastAsia="Times New Roman" w:hAnsi="Helvetica" w:cs="Helvetica"/>
          <w:b/>
        </w:rPr>
        <w:t>Applicants</w:t>
      </w:r>
      <w:r w:rsidR="004263AD" w:rsidRPr="003C53D7">
        <w:rPr>
          <w:rFonts w:ascii="Helvetica" w:eastAsia="Times New Roman" w:hAnsi="Helvetica" w:cs="Helvetica"/>
          <w:b/>
        </w:rPr>
        <w:t xml:space="preserve"> </w:t>
      </w:r>
      <w:r w:rsidRPr="003C53D7">
        <w:rPr>
          <w:rFonts w:ascii="Helvetica" w:eastAsia="Times New Roman" w:hAnsi="Helvetica" w:cs="Helvetica"/>
          <w:b/>
        </w:rPr>
        <w:t>are only required to upload a document once and can leave the duplicate locations empty.</w:t>
      </w:r>
    </w:p>
    <w:p w:rsidR="003C53D7" w:rsidRPr="003C53D7" w:rsidRDefault="003C53D7" w:rsidP="003C53D7">
      <w:pPr>
        <w:spacing w:after="120"/>
        <w:ind w:left="360"/>
        <w:rPr>
          <w:rFonts w:eastAsia="Times New Roman" w:cstheme="minorHAnsi"/>
        </w:rPr>
      </w:pPr>
    </w:p>
    <w:p w:rsidR="003B08BF" w:rsidRDefault="003C53D7" w:rsidP="003B08BF">
      <w:pPr>
        <w:pStyle w:val="ListParagraph"/>
        <w:numPr>
          <w:ilvl w:val="0"/>
          <w:numId w:val="1"/>
        </w:numPr>
        <w:spacing w:after="120"/>
        <w:rPr>
          <w:rFonts w:eastAsia="Times New Roman" w:cstheme="minorHAnsi"/>
        </w:rPr>
      </w:pPr>
      <w:r>
        <w:rPr>
          <w:rFonts w:eastAsia="Times New Roman" w:cstheme="minorHAnsi"/>
        </w:rPr>
        <w:t>I</w:t>
      </w:r>
      <w:r w:rsidR="003B08BF" w:rsidRPr="003B08BF">
        <w:rPr>
          <w:rFonts w:eastAsia="Times New Roman" w:cstheme="minorHAnsi"/>
        </w:rPr>
        <w:t xml:space="preserve">n the past, some documents had to be uploaded in multiple sections. </w:t>
      </w:r>
      <w:r w:rsidR="004263AD">
        <w:rPr>
          <w:rFonts w:eastAsia="Times New Roman" w:cstheme="minorHAnsi"/>
        </w:rPr>
        <w:t>I</w:t>
      </w:r>
      <w:r w:rsidR="003B08BF" w:rsidRPr="003B08BF">
        <w:rPr>
          <w:rFonts w:eastAsia="Times New Roman" w:cstheme="minorHAnsi"/>
        </w:rPr>
        <w:t>s this still the case?</w:t>
      </w:r>
    </w:p>
    <w:p w:rsidR="003C53D7" w:rsidRPr="003C53D7" w:rsidRDefault="003C53D7" w:rsidP="003C53D7">
      <w:pPr>
        <w:spacing w:after="120" w:line="252" w:lineRule="auto"/>
        <w:ind w:left="360"/>
        <w:rPr>
          <w:rFonts w:ascii="Helvetica" w:eastAsia="Times New Roman" w:hAnsi="Helvetica" w:cs="Helvetica"/>
          <w:b/>
        </w:rPr>
      </w:pPr>
      <w:r w:rsidRPr="003C53D7">
        <w:rPr>
          <w:rFonts w:ascii="Helvetica" w:eastAsia="Times New Roman" w:hAnsi="Helvetica" w:cs="Helvetica"/>
          <w:b/>
        </w:rPr>
        <w:t>Answer:  There may be multiple options to upload the same information</w:t>
      </w:r>
      <w:r w:rsidR="004263AD">
        <w:rPr>
          <w:rFonts w:ascii="Helvetica" w:eastAsia="Times New Roman" w:hAnsi="Helvetica" w:cs="Helvetica"/>
          <w:b/>
        </w:rPr>
        <w:t>,</w:t>
      </w:r>
      <w:r w:rsidRPr="003C53D7">
        <w:rPr>
          <w:rFonts w:ascii="Helvetica" w:eastAsia="Times New Roman" w:hAnsi="Helvetica" w:cs="Helvetica"/>
          <w:b/>
        </w:rPr>
        <w:t xml:space="preserve"> but it only needs to be uploaded once. See #24.</w:t>
      </w:r>
    </w:p>
    <w:p w:rsidR="003C53D7" w:rsidRPr="003C53D7" w:rsidRDefault="003C53D7" w:rsidP="003C53D7">
      <w:pPr>
        <w:spacing w:after="120"/>
        <w:ind w:left="360"/>
        <w:rPr>
          <w:rFonts w:eastAsia="Times New Roman" w:cstheme="minorHAnsi"/>
        </w:rPr>
      </w:pPr>
    </w:p>
    <w:p w:rsidR="003B08BF" w:rsidRDefault="003B08BF" w:rsidP="003B08BF">
      <w:pPr>
        <w:pStyle w:val="ListParagraph"/>
        <w:numPr>
          <w:ilvl w:val="0"/>
          <w:numId w:val="1"/>
        </w:numPr>
        <w:spacing w:after="120"/>
        <w:rPr>
          <w:rFonts w:eastAsia="Times New Roman" w:cstheme="minorHAnsi"/>
        </w:rPr>
      </w:pPr>
      <w:r w:rsidRPr="003B08BF">
        <w:rPr>
          <w:rFonts w:eastAsia="Times New Roman" w:cstheme="minorHAnsi"/>
        </w:rPr>
        <w:t>Is everything su</w:t>
      </w:r>
      <w:r>
        <w:rPr>
          <w:rFonts w:eastAsia="Times New Roman" w:cstheme="minorHAnsi"/>
        </w:rPr>
        <w:t xml:space="preserve">bmitted electronically or will </w:t>
      </w:r>
      <w:r w:rsidRPr="003B08BF">
        <w:rPr>
          <w:rFonts w:eastAsia="Times New Roman" w:cstheme="minorHAnsi"/>
        </w:rPr>
        <w:t>any original documents be required to go in by mail?</w:t>
      </w:r>
    </w:p>
    <w:p w:rsidR="003C53D7" w:rsidRDefault="003C53D7" w:rsidP="003C53D7">
      <w:pPr>
        <w:spacing w:after="120" w:line="252" w:lineRule="auto"/>
        <w:ind w:left="360"/>
        <w:rPr>
          <w:rFonts w:ascii="Helvetica" w:eastAsia="Times New Roman" w:hAnsi="Helvetica" w:cs="Helvetica"/>
          <w:b/>
        </w:rPr>
      </w:pPr>
      <w:r w:rsidRPr="003C53D7">
        <w:rPr>
          <w:rFonts w:ascii="Helvetica" w:eastAsia="Times New Roman" w:hAnsi="Helvetica" w:cs="Helvetica"/>
          <w:b/>
        </w:rPr>
        <w:t>Answer:  Everything must be submitted electronically through the online portal.</w:t>
      </w:r>
    </w:p>
    <w:p w:rsidR="003C53D7" w:rsidRPr="003C53D7" w:rsidRDefault="003C53D7" w:rsidP="003C53D7">
      <w:pPr>
        <w:spacing w:after="120" w:line="252" w:lineRule="auto"/>
        <w:ind w:left="360"/>
        <w:rPr>
          <w:rFonts w:ascii="Helvetica" w:eastAsia="Times New Roman" w:hAnsi="Helvetica" w:cs="Helvetica"/>
          <w:b/>
        </w:rPr>
      </w:pPr>
    </w:p>
    <w:p w:rsidR="003B08BF" w:rsidRDefault="003C53D7" w:rsidP="003B08BF">
      <w:pPr>
        <w:pStyle w:val="ListParagraph"/>
        <w:numPr>
          <w:ilvl w:val="0"/>
          <w:numId w:val="1"/>
        </w:numPr>
        <w:spacing w:after="120"/>
        <w:rPr>
          <w:rFonts w:eastAsia="Times New Roman" w:cstheme="minorHAnsi"/>
        </w:rPr>
      </w:pPr>
      <w:r>
        <w:rPr>
          <w:rFonts w:eastAsia="Times New Roman" w:cstheme="minorHAnsi"/>
        </w:rPr>
        <w:t>A</w:t>
      </w:r>
      <w:r w:rsidR="003B08BF" w:rsidRPr="003B08BF">
        <w:rPr>
          <w:rFonts w:eastAsia="Times New Roman" w:cstheme="minorHAnsi"/>
        </w:rPr>
        <w:t>re disaster credits included in the developer max LIHTC cap?</w:t>
      </w:r>
    </w:p>
    <w:p w:rsidR="003C53D7" w:rsidRPr="003C53D7" w:rsidRDefault="003C53D7" w:rsidP="003C53D7">
      <w:pPr>
        <w:spacing w:after="120"/>
        <w:ind w:left="360"/>
        <w:rPr>
          <w:rFonts w:ascii="Helvetica" w:eastAsia="Times New Roman" w:hAnsi="Helvetica" w:cs="Helvetica"/>
          <w:b/>
        </w:rPr>
      </w:pPr>
      <w:r w:rsidRPr="003C53D7">
        <w:rPr>
          <w:rFonts w:ascii="Helvetica" w:eastAsia="Times New Roman" w:hAnsi="Helvetica" w:cs="Helvetica"/>
          <w:b/>
        </w:rPr>
        <w:t>Answer:  The per project and developer fee cap remains in place in fairness to all developers and in the spirit of the QAP process to maintain a level playing field.</w:t>
      </w:r>
    </w:p>
    <w:p w:rsidR="00F07177" w:rsidRPr="003C53D7" w:rsidRDefault="00F07177" w:rsidP="00F07177">
      <w:pPr>
        <w:pStyle w:val="ListParagraph"/>
        <w:rPr>
          <w:rFonts w:ascii="Helvetica" w:eastAsia="Times New Roman" w:hAnsi="Helvetica" w:cs="Helvetica"/>
          <w:b/>
        </w:rPr>
      </w:pPr>
    </w:p>
    <w:sectPr w:rsidR="00F07177" w:rsidRPr="003C53D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D2C" w:rsidRDefault="00866D2C" w:rsidP="00D43FBB">
      <w:pPr>
        <w:spacing w:after="0" w:line="240" w:lineRule="auto"/>
      </w:pPr>
      <w:r>
        <w:separator/>
      </w:r>
    </w:p>
  </w:endnote>
  <w:endnote w:type="continuationSeparator" w:id="0">
    <w:p w:rsidR="00866D2C" w:rsidRDefault="00866D2C" w:rsidP="00D43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Bold">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EBE" w:rsidRDefault="00551EBE" w:rsidP="00D43FBB">
    <w:pPr>
      <w:pStyle w:val="Footer"/>
      <w:jc w:val="right"/>
    </w:pPr>
    <w:r>
      <w:t xml:space="preserve"> Revised as of </w:t>
    </w:r>
  </w:p>
  <w:p w:rsidR="00D43FBB" w:rsidRDefault="00551EBE" w:rsidP="00D43FBB">
    <w:pPr>
      <w:pStyle w:val="Footer"/>
      <w:jc w:val="right"/>
    </w:pPr>
    <w:r>
      <w:t>October 7,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D2C" w:rsidRDefault="00866D2C" w:rsidP="00D43FBB">
      <w:pPr>
        <w:spacing w:after="0" w:line="240" w:lineRule="auto"/>
      </w:pPr>
      <w:r>
        <w:separator/>
      </w:r>
    </w:p>
  </w:footnote>
  <w:footnote w:type="continuationSeparator" w:id="0">
    <w:p w:rsidR="00866D2C" w:rsidRDefault="00866D2C" w:rsidP="00D43F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914CB"/>
    <w:multiLevelType w:val="hybridMultilevel"/>
    <w:tmpl w:val="EA8464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33C14C9"/>
    <w:multiLevelType w:val="hybridMultilevel"/>
    <w:tmpl w:val="4DEAA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9391E9A"/>
    <w:multiLevelType w:val="hybridMultilevel"/>
    <w:tmpl w:val="6A6656DA"/>
    <w:lvl w:ilvl="0" w:tplc="8F985DB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E12A71"/>
    <w:multiLevelType w:val="hybridMultilevel"/>
    <w:tmpl w:val="B70A8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2"/>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AE6"/>
    <w:rsid w:val="0005010D"/>
    <w:rsid w:val="00185047"/>
    <w:rsid w:val="001A1E32"/>
    <w:rsid w:val="001D33A7"/>
    <w:rsid w:val="001F3637"/>
    <w:rsid w:val="002246DD"/>
    <w:rsid w:val="002444C1"/>
    <w:rsid w:val="002D6098"/>
    <w:rsid w:val="00302013"/>
    <w:rsid w:val="003B08BF"/>
    <w:rsid w:val="003C53D7"/>
    <w:rsid w:val="004263AD"/>
    <w:rsid w:val="0043395E"/>
    <w:rsid w:val="004B1C15"/>
    <w:rsid w:val="004D7474"/>
    <w:rsid w:val="00532FCF"/>
    <w:rsid w:val="00551EBE"/>
    <w:rsid w:val="005539AB"/>
    <w:rsid w:val="005B0B63"/>
    <w:rsid w:val="0060205C"/>
    <w:rsid w:val="00625312"/>
    <w:rsid w:val="00657170"/>
    <w:rsid w:val="006577DF"/>
    <w:rsid w:val="00674613"/>
    <w:rsid w:val="006E22B4"/>
    <w:rsid w:val="006F1DB2"/>
    <w:rsid w:val="006F6905"/>
    <w:rsid w:val="00752EF8"/>
    <w:rsid w:val="007A58BE"/>
    <w:rsid w:val="00852DBB"/>
    <w:rsid w:val="00866D2C"/>
    <w:rsid w:val="00884C0A"/>
    <w:rsid w:val="00893AE6"/>
    <w:rsid w:val="008F4EF4"/>
    <w:rsid w:val="008F6F7E"/>
    <w:rsid w:val="00955A57"/>
    <w:rsid w:val="009D442E"/>
    <w:rsid w:val="00B61017"/>
    <w:rsid w:val="00BE2B75"/>
    <w:rsid w:val="00D14306"/>
    <w:rsid w:val="00D25D76"/>
    <w:rsid w:val="00D4237D"/>
    <w:rsid w:val="00D43FBB"/>
    <w:rsid w:val="00DC3BA5"/>
    <w:rsid w:val="00E600DB"/>
    <w:rsid w:val="00E61F6F"/>
    <w:rsid w:val="00E917E8"/>
    <w:rsid w:val="00EC0AD1"/>
    <w:rsid w:val="00EE065E"/>
    <w:rsid w:val="00F000A9"/>
    <w:rsid w:val="00F035F6"/>
    <w:rsid w:val="00F07177"/>
    <w:rsid w:val="00F86CA9"/>
    <w:rsid w:val="00FC0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73EB8"/>
  <w15:chartTrackingRefBased/>
  <w15:docId w15:val="{E703CC5A-DAAB-4073-8D2F-A4DC81ED1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637"/>
    <w:pPr>
      <w:ind w:left="720"/>
      <w:contextualSpacing/>
    </w:pPr>
  </w:style>
  <w:style w:type="character" w:styleId="Hyperlink">
    <w:name w:val="Hyperlink"/>
    <w:basedOn w:val="DefaultParagraphFont"/>
    <w:uiPriority w:val="99"/>
    <w:unhideWhenUsed/>
    <w:rsid w:val="006E22B4"/>
    <w:rPr>
      <w:color w:val="0563C1" w:themeColor="hyperlink"/>
      <w:u w:val="single"/>
    </w:rPr>
  </w:style>
  <w:style w:type="paragraph" w:styleId="Header">
    <w:name w:val="header"/>
    <w:basedOn w:val="Normal"/>
    <w:link w:val="HeaderChar"/>
    <w:uiPriority w:val="99"/>
    <w:unhideWhenUsed/>
    <w:rsid w:val="00D43F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FBB"/>
  </w:style>
  <w:style w:type="paragraph" w:styleId="Footer">
    <w:name w:val="footer"/>
    <w:basedOn w:val="Normal"/>
    <w:link w:val="FooterChar"/>
    <w:uiPriority w:val="99"/>
    <w:unhideWhenUsed/>
    <w:rsid w:val="00D43F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FBB"/>
  </w:style>
  <w:style w:type="character" w:styleId="CommentReference">
    <w:name w:val="annotation reference"/>
    <w:basedOn w:val="DefaultParagraphFont"/>
    <w:uiPriority w:val="99"/>
    <w:semiHidden/>
    <w:unhideWhenUsed/>
    <w:rsid w:val="00BE2B75"/>
    <w:rPr>
      <w:sz w:val="16"/>
      <w:szCs w:val="16"/>
    </w:rPr>
  </w:style>
  <w:style w:type="paragraph" w:styleId="CommentText">
    <w:name w:val="annotation text"/>
    <w:basedOn w:val="Normal"/>
    <w:link w:val="CommentTextChar"/>
    <w:uiPriority w:val="99"/>
    <w:semiHidden/>
    <w:unhideWhenUsed/>
    <w:rsid w:val="00BE2B75"/>
    <w:pPr>
      <w:spacing w:line="240" w:lineRule="auto"/>
    </w:pPr>
    <w:rPr>
      <w:sz w:val="20"/>
      <w:szCs w:val="20"/>
    </w:rPr>
  </w:style>
  <w:style w:type="character" w:customStyle="1" w:styleId="CommentTextChar">
    <w:name w:val="Comment Text Char"/>
    <w:basedOn w:val="DefaultParagraphFont"/>
    <w:link w:val="CommentText"/>
    <w:uiPriority w:val="99"/>
    <w:semiHidden/>
    <w:rsid w:val="00BE2B75"/>
    <w:rPr>
      <w:sz w:val="20"/>
      <w:szCs w:val="20"/>
    </w:rPr>
  </w:style>
  <w:style w:type="paragraph" w:styleId="CommentSubject">
    <w:name w:val="annotation subject"/>
    <w:basedOn w:val="CommentText"/>
    <w:next w:val="CommentText"/>
    <w:link w:val="CommentSubjectChar"/>
    <w:uiPriority w:val="99"/>
    <w:semiHidden/>
    <w:unhideWhenUsed/>
    <w:rsid w:val="00BE2B75"/>
    <w:rPr>
      <w:b/>
      <w:bCs/>
    </w:rPr>
  </w:style>
  <w:style w:type="character" w:customStyle="1" w:styleId="CommentSubjectChar">
    <w:name w:val="Comment Subject Char"/>
    <w:basedOn w:val="CommentTextChar"/>
    <w:link w:val="CommentSubject"/>
    <w:uiPriority w:val="99"/>
    <w:semiHidden/>
    <w:rsid w:val="00BE2B75"/>
    <w:rPr>
      <w:b/>
      <w:bCs/>
      <w:sz w:val="20"/>
      <w:szCs w:val="20"/>
    </w:rPr>
  </w:style>
  <w:style w:type="paragraph" w:styleId="BalloonText">
    <w:name w:val="Balloon Text"/>
    <w:basedOn w:val="Normal"/>
    <w:link w:val="BalloonTextChar"/>
    <w:uiPriority w:val="99"/>
    <w:semiHidden/>
    <w:unhideWhenUsed/>
    <w:rsid w:val="00BE2B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B75"/>
    <w:rPr>
      <w:rFonts w:ascii="Segoe UI" w:hAnsi="Segoe UI" w:cs="Segoe UI"/>
      <w:sz w:val="18"/>
      <w:szCs w:val="18"/>
    </w:rPr>
  </w:style>
  <w:style w:type="paragraph" w:styleId="Revision">
    <w:name w:val="Revision"/>
    <w:hidden/>
    <w:uiPriority w:val="99"/>
    <w:semiHidden/>
    <w:rsid w:val="00955A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225">
      <w:bodyDiv w:val="1"/>
      <w:marLeft w:val="0"/>
      <w:marRight w:val="0"/>
      <w:marTop w:val="0"/>
      <w:marBottom w:val="0"/>
      <w:divBdr>
        <w:top w:val="none" w:sz="0" w:space="0" w:color="auto"/>
        <w:left w:val="none" w:sz="0" w:space="0" w:color="auto"/>
        <w:bottom w:val="none" w:sz="0" w:space="0" w:color="auto"/>
        <w:right w:val="none" w:sz="0" w:space="0" w:color="auto"/>
      </w:divBdr>
    </w:div>
    <w:div w:id="240794577">
      <w:bodyDiv w:val="1"/>
      <w:marLeft w:val="0"/>
      <w:marRight w:val="0"/>
      <w:marTop w:val="0"/>
      <w:marBottom w:val="0"/>
      <w:divBdr>
        <w:top w:val="none" w:sz="0" w:space="0" w:color="auto"/>
        <w:left w:val="none" w:sz="0" w:space="0" w:color="auto"/>
        <w:bottom w:val="none" w:sz="0" w:space="0" w:color="auto"/>
        <w:right w:val="none" w:sz="0" w:space="0" w:color="auto"/>
      </w:divBdr>
    </w:div>
    <w:div w:id="281157523">
      <w:bodyDiv w:val="1"/>
      <w:marLeft w:val="0"/>
      <w:marRight w:val="0"/>
      <w:marTop w:val="0"/>
      <w:marBottom w:val="0"/>
      <w:divBdr>
        <w:top w:val="none" w:sz="0" w:space="0" w:color="auto"/>
        <w:left w:val="none" w:sz="0" w:space="0" w:color="auto"/>
        <w:bottom w:val="none" w:sz="0" w:space="0" w:color="auto"/>
        <w:right w:val="none" w:sz="0" w:space="0" w:color="auto"/>
      </w:divBdr>
    </w:div>
    <w:div w:id="372777498">
      <w:bodyDiv w:val="1"/>
      <w:marLeft w:val="0"/>
      <w:marRight w:val="0"/>
      <w:marTop w:val="0"/>
      <w:marBottom w:val="0"/>
      <w:divBdr>
        <w:top w:val="none" w:sz="0" w:space="0" w:color="auto"/>
        <w:left w:val="none" w:sz="0" w:space="0" w:color="auto"/>
        <w:bottom w:val="none" w:sz="0" w:space="0" w:color="auto"/>
        <w:right w:val="none" w:sz="0" w:space="0" w:color="auto"/>
      </w:divBdr>
    </w:div>
    <w:div w:id="491260762">
      <w:bodyDiv w:val="1"/>
      <w:marLeft w:val="0"/>
      <w:marRight w:val="0"/>
      <w:marTop w:val="0"/>
      <w:marBottom w:val="0"/>
      <w:divBdr>
        <w:top w:val="none" w:sz="0" w:space="0" w:color="auto"/>
        <w:left w:val="none" w:sz="0" w:space="0" w:color="auto"/>
        <w:bottom w:val="none" w:sz="0" w:space="0" w:color="auto"/>
        <w:right w:val="none" w:sz="0" w:space="0" w:color="auto"/>
      </w:divBdr>
    </w:div>
    <w:div w:id="519701023">
      <w:bodyDiv w:val="1"/>
      <w:marLeft w:val="0"/>
      <w:marRight w:val="0"/>
      <w:marTop w:val="0"/>
      <w:marBottom w:val="0"/>
      <w:divBdr>
        <w:top w:val="none" w:sz="0" w:space="0" w:color="auto"/>
        <w:left w:val="none" w:sz="0" w:space="0" w:color="auto"/>
        <w:bottom w:val="none" w:sz="0" w:space="0" w:color="auto"/>
        <w:right w:val="none" w:sz="0" w:space="0" w:color="auto"/>
      </w:divBdr>
    </w:div>
    <w:div w:id="622809975">
      <w:bodyDiv w:val="1"/>
      <w:marLeft w:val="0"/>
      <w:marRight w:val="0"/>
      <w:marTop w:val="0"/>
      <w:marBottom w:val="0"/>
      <w:divBdr>
        <w:top w:val="none" w:sz="0" w:space="0" w:color="auto"/>
        <w:left w:val="none" w:sz="0" w:space="0" w:color="auto"/>
        <w:bottom w:val="none" w:sz="0" w:space="0" w:color="auto"/>
        <w:right w:val="none" w:sz="0" w:space="0" w:color="auto"/>
      </w:divBdr>
    </w:div>
    <w:div w:id="752508471">
      <w:bodyDiv w:val="1"/>
      <w:marLeft w:val="0"/>
      <w:marRight w:val="0"/>
      <w:marTop w:val="0"/>
      <w:marBottom w:val="0"/>
      <w:divBdr>
        <w:top w:val="none" w:sz="0" w:space="0" w:color="auto"/>
        <w:left w:val="none" w:sz="0" w:space="0" w:color="auto"/>
        <w:bottom w:val="none" w:sz="0" w:space="0" w:color="auto"/>
        <w:right w:val="none" w:sz="0" w:space="0" w:color="auto"/>
      </w:divBdr>
    </w:div>
    <w:div w:id="862788965">
      <w:bodyDiv w:val="1"/>
      <w:marLeft w:val="0"/>
      <w:marRight w:val="0"/>
      <w:marTop w:val="0"/>
      <w:marBottom w:val="0"/>
      <w:divBdr>
        <w:top w:val="none" w:sz="0" w:space="0" w:color="auto"/>
        <w:left w:val="none" w:sz="0" w:space="0" w:color="auto"/>
        <w:bottom w:val="none" w:sz="0" w:space="0" w:color="auto"/>
        <w:right w:val="none" w:sz="0" w:space="0" w:color="auto"/>
      </w:divBdr>
    </w:div>
    <w:div w:id="940838725">
      <w:bodyDiv w:val="1"/>
      <w:marLeft w:val="0"/>
      <w:marRight w:val="0"/>
      <w:marTop w:val="0"/>
      <w:marBottom w:val="0"/>
      <w:divBdr>
        <w:top w:val="none" w:sz="0" w:space="0" w:color="auto"/>
        <w:left w:val="none" w:sz="0" w:space="0" w:color="auto"/>
        <w:bottom w:val="none" w:sz="0" w:space="0" w:color="auto"/>
        <w:right w:val="none" w:sz="0" w:space="0" w:color="auto"/>
      </w:divBdr>
    </w:div>
    <w:div w:id="1040663283">
      <w:bodyDiv w:val="1"/>
      <w:marLeft w:val="0"/>
      <w:marRight w:val="0"/>
      <w:marTop w:val="0"/>
      <w:marBottom w:val="0"/>
      <w:divBdr>
        <w:top w:val="none" w:sz="0" w:space="0" w:color="auto"/>
        <w:left w:val="none" w:sz="0" w:space="0" w:color="auto"/>
        <w:bottom w:val="none" w:sz="0" w:space="0" w:color="auto"/>
        <w:right w:val="none" w:sz="0" w:space="0" w:color="auto"/>
      </w:divBdr>
    </w:div>
    <w:div w:id="1163088353">
      <w:bodyDiv w:val="1"/>
      <w:marLeft w:val="0"/>
      <w:marRight w:val="0"/>
      <w:marTop w:val="0"/>
      <w:marBottom w:val="0"/>
      <w:divBdr>
        <w:top w:val="none" w:sz="0" w:space="0" w:color="auto"/>
        <w:left w:val="none" w:sz="0" w:space="0" w:color="auto"/>
        <w:bottom w:val="none" w:sz="0" w:space="0" w:color="auto"/>
        <w:right w:val="none" w:sz="0" w:space="0" w:color="auto"/>
      </w:divBdr>
    </w:div>
    <w:div w:id="1249922888">
      <w:bodyDiv w:val="1"/>
      <w:marLeft w:val="0"/>
      <w:marRight w:val="0"/>
      <w:marTop w:val="0"/>
      <w:marBottom w:val="0"/>
      <w:divBdr>
        <w:top w:val="none" w:sz="0" w:space="0" w:color="auto"/>
        <w:left w:val="none" w:sz="0" w:space="0" w:color="auto"/>
        <w:bottom w:val="none" w:sz="0" w:space="0" w:color="auto"/>
        <w:right w:val="none" w:sz="0" w:space="0" w:color="auto"/>
      </w:divBdr>
    </w:div>
    <w:div w:id="1296715449">
      <w:bodyDiv w:val="1"/>
      <w:marLeft w:val="0"/>
      <w:marRight w:val="0"/>
      <w:marTop w:val="0"/>
      <w:marBottom w:val="0"/>
      <w:divBdr>
        <w:top w:val="none" w:sz="0" w:space="0" w:color="auto"/>
        <w:left w:val="none" w:sz="0" w:space="0" w:color="auto"/>
        <w:bottom w:val="none" w:sz="0" w:space="0" w:color="auto"/>
        <w:right w:val="none" w:sz="0" w:space="0" w:color="auto"/>
      </w:divBdr>
    </w:div>
    <w:div w:id="1369799173">
      <w:bodyDiv w:val="1"/>
      <w:marLeft w:val="0"/>
      <w:marRight w:val="0"/>
      <w:marTop w:val="0"/>
      <w:marBottom w:val="0"/>
      <w:divBdr>
        <w:top w:val="none" w:sz="0" w:space="0" w:color="auto"/>
        <w:left w:val="none" w:sz="0" w:space="0" w:color="auto"/>
        <w:bottom w:val="none" w:sz="0" w:space="0" w:color="auto"/>
        <w:right w:val="none" w:sz="0" w:space="0" w:color="auto"/>
      </w:divBdr>
    </w:div>
    <w:div w:id="1464496901">
      <w:bodyDiv w:val="1"/>
      <w:marLeft w:val="0"/>
      <w:marRight w:val="0"/>
      <w:marTop w:val="0"/>
      <w:marBottom w:val="0"/>
      <w:divBdr>
        <w:top w:val="none" w:sz="0" w:space="0" w:color="auto"/>
        <w:left w:val="none" w:sz="0" w:space="0" w:color="auto"/>
        <w:bottom w:val="none" w:sz="0" w:space="0" w:color="auto"/>
        <w:right w:val="none" w:sz="0" w:space="0" w:color="auto"/>
      </w:divBdr>
    </w:div>
    <w:div w:id="1668316611">
      <w:bodyDiv w:val="1"/>
      <w:marLeft w:val="0"/>
      <w:marRight w:val="0"/>
      <w:marTop w:val="0"/>
      <w:marBottom w:val="0"/>
      <w:divBdr>
        <w:top w:val="none" w:sz="0" w:space="0" w:color="auto"/>
        <w:left w:val="none" w:sz="0" w:space="0" w:color="auto"/>
        <w:bottom w:val="none" w:sz="0" w:space="0" w:color="auto"/>
        <w:right w:val="none" w:sz="0" w:space="0" w:color="auto"/>
      </w:divBdr>
    </w:div>
    <w:div w:id="1700818164">
      <w:bodyDiv w:val="1"/>
      <w:marLeft w:val="0"/>
      <w:marRight w:val="0"/>
      <w:marTop w:val="0"/>
      <w:marBottom w:val="0"/>
      <w:divBdr>
        <w:top w:val="none" w:sz="0" w:space="0" w:color="auto"/>
        <w:left w:val="none" w:sz="0" w:space="0" w:color="auto"/>
        <w:bottom w:val="none" w:sz="0" w:space="0" w:color="auto"/>
        <w:right w:val="none" w:sz="0" w:space="0" w:color="auto"/>
      </w:divBdr>
    </w:div>
    <w:div w:id="1825970899">
      <w:bodyDiv w:val="1"/>
      <w:marLeft w:val="0"/>
      <w:marRight w:val="0"/>
      <w:marTop w:val="0"/>
      <w:marBottom w:val="0"/>
      <w:divBdr>
        <w:top w:val="none" w:sz="0" w:space="0" w:color="auto"/>
        <w:left w:val="none" w:sz="0" w:space="0" w:color="auto"/>
        <w:bottom w:val="none" w:sz="0" w:space="0" w:color="auto"/>
        <w:right w:val="none" w:sz="0" w:space="0" w:color="auto"/>
      </w:divBdr>
    </w:div>
    <w:div w:id="194623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user.gov/portal/datasets/lihtc.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hc.la.gov/low-income-housing-tax-credit-lihtc-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1888</Words>
  <Characters>10767</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Hall</dc:creator>
  <cp:keywords/>
  <dc:description/>
  <cp:lastModifiedBy>Wendy Hall</cp:lastModifiedBy>
  <cp:revision>2</cp:revision>
  <cp:lastPrinted>2021-10-20T20:29:00Z</cp:lastPrinted>
  <dcterms:created xsi:type="dcterms:W3CDTF">2021-10-20T20:38:00Z</dcterms:created>
  <dcterms:modified xsi:type="dcterms:W3CDTF">2021-10-20T20:38:00Z</dcterms:modified>
</cp:coreProperties>
</file>